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D95" w:rsidRDefault="00234D95" w:rsidP="00234D95">
      <w:pPr>
        <w:widowControl w:val="0"/>
        <w:jc w:val="center"/>
      </w:pPr>
      <w:r w:rsidRPr="00234D95">
        <w:rPr>
          <w:b/>
        </w:rPr>
        <w:t>South Carolina General Assembly</w:t>
      </w:r>
    </w:p>
    <w:p w:rsidR="00234D95" w:rsidRDefault="00234D95" w:rsidP="00234D95">
      <w:pPr>
        <w:widowControl w:val="0"/>
        <w:jc w:val="center"/>
      </w:pPr>
      <w:r>
        <w:t>120th Session, 2013-2014</w:t>
      </w:r>
    </w:p>
    <w:p w:rsidR="00234D95" w:rsidRDefault="00234D95" w:rsidP="00234D95">
      <w:pPr>
        <w:widowControl w:val="0"/>
        <w:jc w:val="left"/>
      </w:pPr>
    </w:p>
    <w:p w:rsidR="00234D95" w:rsidRDefault="00234D95" w:rsidP="00234D95">
      <w:pPr>
        <w:widowControl w:val="0"/>
        <w:jc w:val="left"/>
        <w:rPr>
          <w:b/>
        </w:rPr>
      </w:pPr>
      <w:r w:rsidRPr="00234D95">
        <w:rPr>
          <w:b/>
        </w:rPr>
        <w:t>H. 4520</w:t>
      </w:r>
    </w:p>
    <w:p w:rsidR="00234D95" w:rsidRDefault="00234D95" w:rsidP="00234D95">
      <w:pPr>
        <w:widowControl w:val="0"/>
        <w:jc w:val="left"/>
        <w:rPr>
          <w:b/>
        </w:rPr>
      </w:pPr>
    </w:p>
    <w:p w:rsidR="00234D95" w:rsidRDefault="00234D95" w:rsidP="00234D95">
      <w:pPr>
        <w:widowControl w:val="0"/>
        <w:jc w:val="left"/>
      </w:pPr>
      <w:r w:rsidRPr="00234D95">
        <w:rPr>
          <w:b/>
        </w:rPr>
        <w:t>STATUS INFORMATION</w:t>
      </w:r>
    </w:p>
    <w:p w:rsidR="00234D95" w:rsidRDefault="00234D95" w:rsidP="00234D95">
      <w:pPr>
        <w:widowControl w:val="0"/>
        <w:jc w:val="left"/>
      </w:pPr>
    </w:p>
    <w:p w:rsidR="00234D95" w:rsidRDefault="00234D95" w:rsidP="00234D95">
      <w:pPr>
        <w:widowControl w:val="0"/>
        <w:jc w:val="left"/>
      </w:pPr>
      <w:r>
        <w:t>General Bill</w:t>
      </w:r>
    </w:p>
    <w:p w:rsidR="00234D95" w:rsidRDefault="00FA546A" w:rsidP="00234D95">
      <w:pPr>
        <w:widowControl w:val="0"/>
        <w:jc w:val="left"/>
      </w:pPr>
      <w:r>
        <w:t>Sponsors: Reps. Herbkersman and Bowers</w:t>
      </w:r>
    </w:p>
    <w:p w:rsidR="00234D95" w:rsidRDefault="00234D95" w:rsidP="00234D95">
      <w:pPr>
        <w:widowControl w:val="0"/>
        <w:jc w:val="left"/>
      </w:pPr>
      <w:r>
        <w:t>Document Path: l:\council\bills\bh\26059dg14.docx</w:t>
      </w:r>
    </w:p>
    <w:p w:rsidR="00234D95" w:rsidRDefault="00234D95" w:rsidP="00234D95">
      <w:pPr>
        <w:widowControl w:val="0"/>
        <w:jc w:val="left"/>
      </w:pPr>
    </w:p>
    <w:p w:rsidR="007F7C9D" w:rsidRDefault="007F7C9D" w:rsidP="00234D95">
      <w:pPr>
        <w:widowControl w:val="0"/>
        <w:jc w:val="left"/>
      </w:pPr>
      <w:r>
        <w:t>Introduced in the House on January 21, 2014</w:t>
      </w:r>
    </w:p>
    <w:p w:rsidR="007F7C9D" w:rsidRDefault="007F7C9D" w:rsidP="00234D95">
      <w:pPr>
        <w:widowControl w:val="0"/>
        <w:jc w:val="left"/>
      </w:pPr>
      <w:r>
        <w:t>Introduced in the Senate on May 29, 2014</w:t>
      </w:r>
    </w:p>
    <w:p w:rsidR="007F7C9D" w:rsidRDefault="007F7C9D" w:rsidP="00234D95">
      <w:pPr>
        <w:widowControl w:val="0"/>
        <w:jc w:val="left"/>
      </w:pPr>
      <w:r>
        <w:t>Last Amended on May 28, 2014</w:t>
      </w:r>
    </w:p>
    <w:p w:rsidR="007F7C9D" w:rsidRPr="007F7C9D" w:rsidRDefault="007F7C9D" w:rsidP="00234D95">
      <w:pPr>
        <w:widowControl w:val="0"/>
        <w:jc w:val="left"/>
      </w:pPr>
      <w:r>
        <w:t xml:space="preserve">Currently residing in the Senate Committee on </w:t>
      </w:r>
      <w:r w:rsidRPr="007F7C9D">
        <w:rPr>
          <w:b/>
        </w:rPr>
        <w:t>Finance</w:t>
      </w:r>
    </w:p>
    <w:p w:rsidR="007F7C9D" w:rsidRDefault="007F7C9D" w:rsidP="00234D95">
      <w:pPr>
        <w:widowControl w:val="0"/>
        <w:jc w:val="left"/>
      </w:pPr>
    </w:p>
    <w:p w:rsidR="00234D95" w:rsidRDefault="00234D95" w:rsidP="00234D95">
      <w:pPr>
        <w:widowControl w:val="0"/>
        <w:jc w:val="left"/>
      </w:pPr>
      <w:r>
        <w:t xml:space="preserve">Summary: </w:t>
      </w:r>
      <w:r w:rsidR="0062183D">
        <w:t>Uncle Preston's Law</w:t>
      </w:r>
    </w:p>
    <w:p w:rsidR="00234D95" w:rsidRDefault="00234D95" w:rsidP="00234D95">
      <w:pPr>
        <w:widowControl w:val="0"/>
        <w:jc w:val="left"/>
      </w:pPr>
    </w:p>
    <w:p w:rsidR="00234D95" w:rsidRDefault="00234D95" w:rsidP="00234D95">
      <w:pPr>
        <w:widowControl w:val="0"/>
        <w:jc w:val="left"/>
      </w:pPr>
    </w:p>
    <w:p w:rsidR="00234D95" w:rsidRDefault="00234D95" w:rsidP="00234D95">
      <w:pPr>
        <w:widowControl w:val="0"/>
        <w:tabs>
          <w:tab w:val="center" w:pos="590"/>
          <w:tab w:val="center" w:pos="1440"/>
          <w:tab w:val="left" w:pos="1872"/>
          <w:tab w:val="left" w:pos="9187"/>
        </w:tabs>
        <w:jc w:val="left"/>
      </w:pPr>
      <w:r w:rsidRPr="00234D95">
        <w:rPr>
          <w:b/>
        </w:rPr>
        <w:t>HISTORY OF LEGISLATIVE ACTIONS</w:t>
      </w:r>
    </w:p>
    <w:p w:rsidR="00234D95" w:rsidRDefault="00234D95" w:rsidP="00234D95">
      <w:pPr>
        <w:widowControl w:val="0"/>
        <w:tabs>
          <w:tab w:val="center" w:pos="590"/>
          <w:tab w:val="center" w:pos="1440"/>
          <w:tab w:val="left" w:pos="1872"/>
          <w:tab w:val="left" w:pos="9187"/>
        </w:tabs>
        <w:jc w:val="left"/>
      </w:pPr>
    </w:p>
    <w:p w:rsidR="00234D95" w:rsidRPr="00234D95" w:rsidRDefault="00234D95" w:rsidP="00234D95">
      <w:pPr>
        <w:widowControl w:val="0"/>
        <w:tabs>
          <w:tab w:val="center" w:pos="590"/>
          <w:tab w:val="center" w:pos="1440"/>
          <w:tab w:val="left" w:pos="1872"/>
          <w:tab w:val="left" w:pos="9187"/>
        </w:tabs>
        <w:jc w:val="left"/>
      </w:pPr>
      <w:r w:rsidRPr="00234D95">
        <w:rPr>
          <w:u w:val="single"/>
        </w:rPr>
        <w:tab/>
        <w:t>Date</w:t>
      </w:r>
      <w:r w:rsidRPr="00234D95">
        <w:rPr>
          <w:u w:val="single"/>
        </w:rPr>
        <w:tab/>
        <w:t>Body</w:t>
      </w:r>
      <w:r w:rsidRPr="00234D95">
        <w:rPr>
          <w:u w:val="single"/>
        </w:rPr>
        <w:tab/>
        <w:t>Action Description with journal page number</w:t>
      </w:r>
      <w:r w:rsidRPr="00234D95">
        <w:rPr>
          <w:u w:val="single"/>
        </w:rPr>
        <w:tab/>
      </w:r>
      <w:bookmarkStart w:id="0" w:name="_GoBack"/>
      <w:bookmarkEnd w:id="0"/>
    </w:p>
    <w:p w:rsidR="002B19E2" w:rsidRDefault="002B19E2" w:rsidP="002B19E2">
      <w:pPr>
        <w:widowControl w:val="0"/>
        <w:tabs>
          <w:tab w:val="right" w:pos="1008"/>
          <w:tab w:val="left" w:pos="1152"/>
          <w:tab w:val="left" w:pos="1872"/>
          <w:tab w:val="left" w:pos="9187"/>
        </w:tabs>
        <w:ind w:left="2088" w:hanging="2088"/>
        <w:jc w:val="left"/>
      </w:pPr>
      <w:r>
        <w:tab/>
        <w:t>1/21/2014</w:t>
      </w:r>
      <w:r>
        <w:tab/>
        <w:t>House</w:t>
      </w:r>
      <w:r>
        <w:tab/>
      </w:r>
      <w:r w:rsidRPr="00C45E6B">
        <w:t>Introduced and read first time (</w:t>
      </w:r>
      <w:hyperlink r:id="rId7" w:history="1">
        <w:r w:rsidRPr="00C45E6B">
          <w:rPr>
            <w:rStyle w:val="Hyperlink"/>
          </w:rPr>
          <w:t>House Journal</w:t>
        </w:r>
        <w:r w:rsidRPr="00C45E6B">
          <w:rPr>
            <w:rStyle w:val="Hyperlink"/>
          </w:rPr>
          <w:noBreakHyphen/>
          <w:t>page 10</w:t>
        </w:r>
      </w:hyperlink>
      <w:r w:rsidRPr="00C45E6B">
        <w:t>)</w:t>
      </w:r>
    </w:p>
    <w:p w:rsidR="002B19E2" w:rsidRDefault="002B19E2" w:rsidP="002B19E2">
      <w:pPr>
        <w:widowControl w:val="0"/>
        <w:tabs>
          <w:tab w:val="right" w:pos="1008"/>
          <w:tab w:val="left" w:pos="1152"/>
          <w:tab w:val="left" w:pos="1872"/>
          <w:tab w:val="left" w:pos="9187"/>
        </w:tabs>
        <w:ind w:left="2088" w:hanging="2088"/>
        <w:jc w:val="left"/>
      </w:pPr>
      <w:r>
        <w:tab/>
        <w:t>1/21/2014</w:t>
      </w:r>
      <w:r>
        <w:tab/>
        <w:t>House</w:t>
      </w:r>
      <w:r>
        <w:tab/>
      </w:r>
      <w:r w:rsidRPr="00C45E6B">
        <w:t>Referred</w:t>
      </w:r>
      <w:r>
        <w:t xml:space="preserve"> to Committee on </w:t>
      </w:r>
      <w:r w:rsidRPr="00C45E6B">
        <w:rPr>
          <w:b/>
        </w:rPr>
        <w:t>Ways and Means</w:t>
      </w:r>
      <w:r>
        <w:t xml:space="preserve"> </w:t>
      </w:r>
      <w:r w:rsidRPr="00C45E6B">
        <w:t>(</w:t>
      </w:r>
      <w:hyperlink r:id="rId8" w:history="1">
        <w:r w:rsidRPr="00C45E6B">
          <w:rPr>
            <w:rStyle w:val="Hyperlink"/>
          </w:rPr>
          <w:t>House Journal</w:t>
        </w:r>
        <w:r w:rsidRPr="00C45E6B">
          <w:rPr>
            <w:rStyle w:val="Hyperlink"/>
          </w:rPr>
          <w:noBreakHyphen/>
          <w:t>page 10</w:t>
        </w:r>
      </w:hyperlink>
      <w:r w:rsidRPr="00C45E6B">
        <w:t>)</w:t>
      </w:r>
    </w:p>
    <w:p w:rsidR="002B19E2" w:rsidRDefault="002B19E2" w:rsidP="002B19E2">
      <w:pPr>
        <w:widowControl w:val="0"/>
        <w:tabs>
          <w:tab w:val="right" w:pos="1008"/>
          <w:tab w:val="left" w:pos="1152"/>
          <w:tab w:val="left" w:pos="1872"/>
          <w:tab w:val="left" w:pos="9187"/>
        </w:tabs>
        <w:ind w:left="2088" w:hanging="2088"/>
        <w:jc w:val="left"/>
      </w:pPr>
      <w:r>
        <w:tab/>
        <w:t>5/15/2014</w:t>
      </w:r>
      <w:r>
        <w:tab/>
        <w:t>House</w:t>
      </w:r>
      <w:r>
        <w:tab/>
      </w:r>
      <w:r w:rsidRPr="00C45E6B">
        <w:t>Member(s) request name added as sponsor: Bowers</w:t>
      </w:r>
    </w:p>
    <w:p w:rsidR="002B19E2" w:rsidRDefault="002B19E2" w:rsidP="002B19E2">
      <w:pPr>
        <w:widowControl w:val="0"/>
        <w:tabs>
          <w:tab w:val="right" w:pos="1008"/>
          <w:tab w:val="left" w:pos="1152"/>
          <w:tab w:val="left" w:pos="1872"/>
          <w:tab w:val="left" w:pos="9187"/>
        </w:tabs>
        <w:ind w:left="2088" w:hanging="2088"/>
        <w:jc w:val="left"/>
      </w:pPr>
      <w:r>
        <w:tab/>
        <w:t>5/15/2014</w:t>
      </w:r>
      <w:r>
        <w:tab/>
        <w:t>House</w:t>
      </w:r>
      <w:r>
        <w:tab/>
      </w:r>
      <w:r w:rsidRPr="00C45E6B">
        <w:t>Committee report</w:t>
      </w:r>
      <w:r>
        <w:t xml:space="preserve">: Favorable with amendment </w:t>
      </w:r>
      <w:r w:rsidRPr="00C45E6B">
        <w:rPr>
          <w:b/>
        </w:rPr>
        <w:t>Ways and Means</w:t>
      </w:r>
      <w:r w:rsidRPr="00C45E6B">
        <w:t xml:space="preserve"> (</w:t>
      </w:r>
      <w:hyperlink r:id="rId9" w:history="1">
        <w:r w:rsidRPr="00C45E6B">
          <w:rPr>
            <w:rStyle w:val="Hyperlink"/>
          </w:rPr>
          <w:t>House Journal</w:t>
        </w:r>
        <w:r w:rsidRPr="00C45E6B">
          <w:rPr>
            <w:rStyle w:val="Hyperlink"/>
          </w:rPr>
          <w:noBreakHyphen/>
          <w:t>page 43</w:t>
        </w:r>
      </w:hyperlink>
      <w:r w:rsidRPr="00C45E6B">
        <w:t>)</w:t>
      </w:r>
    </w:p>
    <w:p w:rsidR="002B19E2" w:rsidRDefault="002B19E2" w:rsidP="002B19E2">
      <w:pPr>
        <w:widowControl w:val="0"/>
        <w:tabs>
          <w:tab w:val="right" w:pos="1008"/>
          <w:tab w:val="left" w:pos="1152"/>
          <w:tab w:val="left" w:pos="1872"/>
          <w:tab w:val="left" w:pos="9187"/>
        </w:tabs>
        <w:ind w:left="2088" w:hanging="2088"/>
        <w:jc w:val="left"/>
      </w:pPr>
      <w:r>
        <w:tab/>
        <w:t>5/22/2014</w:t>
      </w:r>
      <w:r>
        <w:tab/>
        <w:t>House</w:t>
      </w:r>
      <w:r>
        <w:tab/>
      </w:r>
      <w:r w:rsidRPr="00C45E6B">
        <w:t>Debate</w:t>
      </w:r>
      <w:r>
        <w:t xml:space="preserve"> adjourned until Tues., 5</w:t>
      </w:r>
      <w:r>
        <w:noBreakHyphen/>
        <w:t>27</w:t>
      </w:r>
      <w:r>
        <w:noBreakHyphen/>
        <w:t xml:space="preserve">14 </w:t>
      </w:r>
      <w:r w:rsidRPr="00C45E6B">
        <w:t>(</w:t>
      </w:r>
      <w:hyperlink r:id="rId10" w:history="1">
        <w:r w:rsidRPr="00C45E6B">
          <w:rPr>
            <w:rStyle w:val="Hyperlink"/>
          </w:rPr>
          <w:t>House Journal</w:t>
        </w:r>
        <w:r w:rsidRPr="00C45E6B">
          <w:rPr>
            <w:rStyle w:val="Hyperlink"/>
          </w:rPr>
          <w:noBreakHyphen/>
          <w:t>page 52</w:t>
        </w:r>
      </w:hyperlink>
      <w:r w:rsidRPr="00C45E6B">
        <w:t>)</w:t>
      </w:r>
    </w:p>
    <w:p w:rsidR="002B19E2" w:rsidRDefault="002B19E2" w:rsidP="002B19E2">
      <w:pPr>
        <w:widowControl w:val="0"/>
        <w:tabs>
          <w:tab w:val="right" w:pos="1008"/>
          <w:tab w:val="left" w:pos="1152"/>
          <w:tab w:val="left" w:pos="1872"/>
          <w:tab w:val="left" w:pos="9187"/>
        </w:tabs>
        <w:ind w:left="2088" w:hanging="2088"/>
        <w:jc w:val="left"/>
      </w:pPr>
      <w:r>
        <w:tab/>
        <w:t>5/27/2014</w:t>
      </w:r>
      <w:r>
        <w:tab/>
        <w:t>House</w:t>
      </w:r>
      <w:r>
        <w:tab/>
      </w:r>
      <w:r w:rsidRPr="00C45E6B">
        <w:t>Debate adjourned until Wed., 5</w:t>
      </w:r>
      <w:r>
        <w:noBreakHyphen/>
        <w:t>28</w:t>
      </w:r>
      <w:r>
        <w:noBreakHyphen/>
        <w:t xml:space="preserve">14 </w:t>
      </w:r>
      <w:r w:rsidRPr="00C45E6B">
        <w:t>(</w:t>
      </w:r>
      <w:hyperlink r:id="rId11" w:history="1">
        <w:r w:rsidRPr="00C45E6B">
          <w:rPr>
            <w:rStyle w:val="Hyperlink"/>
          </w:rPr>
          <w:t>House Journal</w:t>
        </w:r>
        <w:r w:rsidRPr="00C45E6B">
          <w:rPr>
            <w:rStyle w:val="Hyperlink"/>
          </w:rPr>
          <w:noBreakHyphen/>
          <w:t>page 86</w:t>
        </w:r>
      </w:hyperlink>
      <w:r w:rsidRPr="00C45E6B">
        <w:t>)</w:t>
      </w:r>
    </w:p>
    <w:p w:rsidR="002B19E2" w:rsidRDefault="002B19E2" w:rsidP="002B19E2">
      <w:pPr>
        <w:widowControl w:val="0"/>
        <w:tabs>
          <w:tab w:val="right" w:pos="1008"/>
          <w:tab w:val="left" w:pos="1152"/>
          <w:tab w:val="left" w:pos="1872"/>
          <w:tab w:val="left" w:pos="9187"/>
        </w:tabs>
        <w:ind w:left="2088" w:hanging="2088"/>
        <w:jc w:val="left"/>
      </w:pPr>
      <w:r>
        <w:tab/>
        <w:t>5/28/2014</w:t>
      </w:r>
      <w:r>
        <w:tab/>
        <w:t>House</w:t>
      </w:r>
      <w:r>
        <w:tab/>
      </w:r>
      <w:r w:rsidRPr="00C45E6B">
        <w:t>Amended (</w:t>
      </w:r>
      <w:hyperlink r:id="rId12" w:history="1">
        <w:r w:rsidRPr="00C45E6B">
          <w:rPr>
            <w:rStyle w:val="Hyperlink"/>
          </w:rPr>
          <w:t>House Journal</w:t>
        </w:r>
        <w:r w:rsidRPr="00C45E6B">
          <w:rPr>
            <w:rStyle w:val="Hyperlink"/>
          </w:rPr>
          <w:noBreakHyphen/>
          <w:t>page 15</w:t>
        </w:r>
      </w:hyperlink>
      <w:r w:rsidRPr="00C45E6B">
        <w:t>)</w:t>
      </w:r>
    </w:p>
    <w:p w:rsidR="002B19E2" w:rsidRDefault="002B19E2" w:rsidP="002B19E2">
      <w:pPr>
        <w:widowControl w:val="0"/>
        <w:tabs>
          <w:tab w:val="right" w:pos="1008"/>
          <w:tab w:val="left" w:pos="1152"/>
          <w:tab w:val="left" w:pos="1872"/>
          <w:tab w:val="left" w:pos="9187"/>
        </w:tabs>
        <w:ind w:left="2088" w:hanging="2088"/>
        <w:jc w:val="left"/>
      </w:pPr>
      <w:r>
        <w:tab/>
        <w:t>5/28/2014</w:t>
      </w:r>
      <w:r>
        <w:tab/>
        <w:t>House</w:t>
      </w:r>
      <w:r>
        <w:tab/>
      </w:r>
      <w:r w:rsidRPr="00C45E6B">
        <w:t>Read second time (</w:t>
      </w:r>
      <w:hyperlink r:id="rId13" w:history="1">
        <w:r w:rsidRPr="00C45E6B">
          <w:rPr>
            <w:rStyle w:val="Hyperlink"/>
          </w:rPr>
          <w:t>House Journal</w:t>
        </w:r>
        <w:r w:rsidRPr="00C45E6B">
          <w:rPr>
            <w:rStyle w:val="Hyperlink"/>
          </w:rPr>
          <w:noBreakHyphen/>
          <w:t>page 15</w:t>
        </w:r>
      </w:hyperlink>
      <w:r w:rsidRPr="00C45E6B">
        <w:t>)</w:t>
      </w:r>
    </w:p>
    <w:p w:rsidR="002B19E2" w:rsidRDefault="002B19E2" w:rsidP="002B19E2">
      <w:pPr>
        <w:widowControl w:val="0"/>
        <w:tabs>
          <w:tab w:val="right" w:pos="1008"/>
          <w:tab w:val="left" w:pos="1152"/>
          <w:tab w:val="left" w:pos="1872"/>
          <w:tab w:val="left" w:pos="9187"/>
        </w:tabs>
        <w:ind w:left="2088" w:hanging="2088"/>
        <w:jc w:val="left"/>
      </w:pPr>
      <w:r>
        <w:tab/>
        <w:t>5/28/2014</w:t>
      </w:r>
      <w:r>
        <w:tab/>
        <w:t>House</w:t>
      </w:r>
      <w:r>
        <w:tab/>
      </w:r>
      <w:r w:rsidRPr="00C45E6B">
        <w:t>Roll call Yeas</w:t>
      </w:r>
      <w:r>
        <w:noBreakHyphen/>
      </w:r>
      <w:r w:rsidRPr="00C45E6B">
        <w:t>82  Nays</w:t>
      </w:r>
      <w:r>
        <w:noBreakHyphen/>
      </w:r>
      <w:r w:rsidRPr="00C45E6B">
        <w:t>16 (</w:t>
      </w:r>
      <w:hyperlink r:id="rId14" w:history="1">
        <w:r w:rsidRPr="00C45E6B">
          <w:rPr>
            <w:rStyle w:val="Hyperlink"/>
          </w:rPr>
          <w:t>House Journal</w:t>
        </w:r>
        <w:r w:rsidRPr="00C45E6B">
          <w:rPr>
            <w:rStyle w:val="Hyperlink"/>
          </w:rPr>
          <w:noBreakHyphen/>
          <w:t>page 16</w:t>
        </w:r>
      </w:hyperlink>
      <w:r w:rsidRPr="00C45E6B">
        <w:t>)</w:t>
      </w:r>
    </w:p>
    <w:p w:rsidR="002B19E2" w:rsidRDefault="002B19E2" w:rsidP="002B19E2">
      <w:pPr>
        <w:widowControl w:val="0"/>
        <w:tabs>
          <w:tab w:val="right" w:pos="1008"/>
          <w:tab w:val="left" w:pos="1152"/>
          <w:tab w:val="left" w:pos="1872"/>
          <w:tab w:val="left" w:pos="9187"/>
        </w:tabs>
        <w:ind w:left="2088" w:hanging="2088"/>
        <w:jc w:val="left"/>
      </w:pPr>
      <w:r>
        <w:tab/>
        <w:t>5/29/2014</w:t>
      </w:r>
      <w:r>
        <w:tab/>
        <w:t>House</w:t>
      </w:r>
      <w:r>
        <w:tab/>
      </w:r>
      <w:r w:rsidRPr="00C45E6B">
        <w:t>Rea</w:t>
      </w:r>
      <w:r>
        <w:t xml:space="preserve">d third time and sent to Senate </w:t>
      </w:r>
      <w:r w:rsidRPr="00C45E6B">
        <w:t>(</w:t>
      </w:r>
      <w:hyperlink r:id="rId15" w:history="1">
        <w:r w:rsidRPr="00C45E6B">
          <w:rPr>
            <w:rStyle w:val="Hyperlink"/>
          </w:rPr>
          <w:t>House Journal</w:t>
        </w:r>
        <w:r w:rsidRPr="00C45E6B">
          <w:rPr>
            <w:rStyle w:val="Hyperlink"/>
          </w:rPr>
          <w:noBreakHyphen/>
          <w:t>page 19</w:t>
        </w:r>
      </w:hyperlink>
      <w:r w:rsidRPr="00C45E6B">
        <w:t>)</w:t>
      </w:r>
    </w:p>
    <w:p w:rsidR="002B19E2" w:rsidRDefault="002B19E2" w:rsidP="002B19E2">
      <w:pPr>
        <w:widowControl w:val="0"/>
        <w:tabs>
          <w:tab w:val="right" w:pos="1008"/>
          <w:tab w:val="left" w:pos="1152"/>
          <w:tab w:val="left" w:pos="1872"/>
          <w:tab w:val="left" w:pos="9187"/>
        </w:tabs>
        <w:ind w:left="2088" w:hanging="2088"/>
        <w:jc w:val="left"/>
      </w:pPr>
      <w:r>
        <w:tab/>
        <w:t>5/29/2014</w:t>
      </w:r>
      <w:r>
        <w:tab/>
        <w:t>Senate</w:t>
      </w:r>
      <w:r>
        <w:tab/>
      </w:r>
      <w:r w:rsidRPr="00C45E6B">
        <w:t>Introduced and read first time (</w:t>
      </w:r>
      <w:hyperlink r:id="rId16" w:history="1">
        <w:r w:rsidRPr="00C45E6B">
          <w:rPr>
            <w:rStyle w:val="Hyperlink"/>
          </w:rPr>
          <w:t>Senate Journal</w:t>
        </w:r>
        <w:r w:rsidRPr="00C45E6B">
          <w:rPr>
            <w:rStyle w:val="Hyperlink"/>
          </w:rPr>
          <w:noBreakHyphen/>
          <w:t>page 37</w:t>
        </w:r>
      </w:hyperlink>
      <w:r w:rsidRPr="00C45E6B">
        <w:t>)</w:t>
      </w:r>
    </w:p>
    <w:p w:rsidR="002B19E2" w:rsidRDefault="002B19E2" w:rsidP="002B19E2">
      <w:pPr>
        <w:widowControl w:val="0"/>
        <w:tabs>
          <w:tab w:val="right" w:pos="1008"/>
          <w:tab w:val="left" w:pos="1152"/>
          <w:tab w:val="left" w:pos="1872"/>
          <w:tab w:val="left" w:pos="9187"/>
        </w:tabs>
        <w:ind w:left="2088" w:hanging="2088"/>
        <w:jc w:val="left"/>
      </w:pPr>
      <w:r>
        <w:tab/>
        <w:t>5/29/2014</w:t>
      </w:r>
      <w:r>
        <w:tab/>
        <w:t>Senate</w:t>
      </w:r>
      <w:r>
        <w:tab/>
      </w:r>
      <w:r w:rsidRPr="00C45E6B">
        <w:t>R</w:t>
      </w:r>
      <w:r>
        <w:t xml:space="preserve">eferred to Committee on </w:t>
      </w:r>
      <w:r w:rsidRPr="00C45E6B">
        <w:rPr>
          <w:b/>
        </w:rPr>
        <w:t>Finance</w:t>
      </w:r>
      <w:r>
        <w:t xml:space="preserve"> </w:t>
      </w:r>
      <w:r w:rsidRPr="00C45E6B">
        <w:t>(</w:t>
      </w:r>
      <w:hyperlink r:id="rId17" w:history="1">
        <w:r w:rsidRPr="00C45E6B">
          <w:rPr>
            <w:rStyle w:val="Hyperlink"/>
          </w:rPr>
          <w:t>Senate Journal</w:t>
        </w:r>
        <w:r w:rsidRPr="00C45E6B">
          <w:rPr>
            <w:rStyle w:val="Hyperlink"/>
          </w:rPr>
          <w:noBreakHyphen/>
          <w:t>page 37</w:t>
        </w:r>
      </w:hyperlink>
      <w:r w:rsidRPr="00C45E6B">
        <w:t>)</w:t>
      </w:r>
    </w:p>
    <w:p w:rsidR="002B19E2" w:rsidRDefault="002B19E2" w:rsidP="002B19E2">
      <w:pPr>
        <w:widowControl w:val="0"/>
        <w:tabs>
          <w:tab w:val="right" w:pos="1008"/>
          <w:tab w:val="left" w:pos="1152"/>
          <w:tab w:val="left" w:pos="1872"/>
          <w:tab w:val="left" w:pos="9187"/>
        </w:tabs>
        <w:ind w:left="2088" w:hanging="2088"/>
        <w:jc w:val="left"/>
      </w:pPr>
    </w:p>
    <w:p w:rsidR="00234D95" w:rsidRPr="00234D95" w:rsidRDefault="00234D95" w:rsidP="00234D95">
      <w:pPr>
        <w:widowControl w:val="0"/>
        <w:tabs>
          <w:tab w:val="right" w:pos="1008"/>
          <w:tab w:val="left" w:pos="1152"/>
          <w:tab w:val="left" w:pos="1872"/>
          <w:tab w:val="left" w:pos="9187"/>
        </w:tabs>
        <w:ind w:left="2088" w:hanging="2088"/>
        <w:jc w:val="left"/>
      </w:pPr>
    </w:p>
    <w:p w:rsidR="00234D95" w:rsidRDefault="00234D95" w:rsidP="00234D95">
      <w:pPr>
        <w:widowControl w:val="0"/>
        <w:jc w:val="left"/>
      </w:pPr>
      <w:r w:rsidRPr="00234D95">
        <w:rPr>
          <w:b/>
        </w:rPr>
        <w:t>VERSIONS OF THIS BILL</w:t>
      </w:r>
    </w:p>
    <w:p w:rsidR="00234D95" w:rsidRDefault="00234D95" w:rsidP="00234D95">
      <w:pPr>
        <w:widowControl w:val="0"/>
        <w:jc w:val="left"/>
      </w:pPr>
    </w:p>
    <w:p w:rsidR="00234D95" w:rsidRDefault="00FF234B" w:rsidP="00234D95">
      <w:pPr>
        <w:widowControl w:val="0"/>
        <w:jc w:val="left"/>
      </w:pPr>
      <w:hyperlink r:id="rId18" w:history="1">
        <w:r w:rsidR="00234D95">
          <w:rPr>
            <w:rStyle w:val="Hyperlink"/>
          </w:rPr>
          <w:t>1/21/2014</w:t>
        </w:r>
      </w:hyperlink>
    </w:p>
    <w:p w:rsidR="00456EB8" w:rsidRDefault="00FF234B" w:rsidP="00234D95">
      <w:hyperlink r:id="rId19" w:history="1">
        <w:r w:rsidR="00456EB8" w:rsidRPr="00456EB8">
          <w:rPr>
            <w:rStyle w:val="Hyperlink"/>
          </w:rPr>
          <w:t>5/15/2014</w:t>
        </w:r>
      </w:hyperlink>
    </w:p>
    <w:p w:rsidR="007F4A84" w:rsidRDefault="00FF234B" w:rsidP="00234D95">
      <w:hyperlink r:id="rId20" w:history="1">
        <w:r w:rsidR="007F4A84" w:rsidRPr="007F4A84">
          <w:rPr>
            <w:rStyle w:val="Hyperlink"/>
          </w:rPr>
          <w:t>5/28/2014</w:t>
        </w:r>
      </w:hyperlink>
    </w:p>
    <w:p w:rsidR="00234D95" w:rsidRDefault="00234D95" w:rsidP="00234D95"/>
    <w:p w:rsidR="00234D95" w:rsidRDefault="00234D95" w:rsidP="00234D95">
      <w:pPr>
        <w:sectPr w:rsidR="00234D95" w:rsidSect="00234D95">
          <w:pgSz w:w="12240" w:h="15840" w:code="1"/>
          <w:pgMar w:top="1080" w:right="1440" w:bottom="1080" w:left="1440" w:header="720" w:footer="720" w:gutter="0"/>
          <w:cols w:space="720"/>
          <w:noEndnote/>
          <w:docGrid w:linePitch="360"/>
        </w:sectPr>
      </w:pPr>
    </w:p>
    <w:p w:rsidR="007F4A84" w:rsidRDefault="007F4A84" w:rsidP="001D7F4F">
      <w:pPr>
        <w:pStyle w:val="BillDots"/>
      </w:pPr>
      <w:r>
        <w:lastRenderedPageBreak/>
        <w:t>AMENDED</w:t>
      </w:r>
    </w:p>
    <w:p w:rsidR="007F4A84" w:rsidRDefault="007F4A84" w:rsidP="001D7F4F">
      <w:pPr>
        <w:pStyle w:val="BillDots"/>
      </w:pPr>
      <w:r>
        <w:t>May 28, 2014</w:t>
      </w:r>
    </w:p>
    <w:p w:rsidR="007F4A84" w:rsidRDefault="007F4A84" w:rsidP="001D7F4F">
      <w:pPr>
        <w:pStyle w:val="BillDots"/>
      </w:pPr>
    </w:p>
    <w:p w:rsidR="007F4A84" w:rsidRPr="00906149" w:rsidRDefault="007F4A84" w:rsidP="00906149">
      <w:pPr>
        <w:pStyle w:val="BillDots"/>
        <w:tabs>
          <w:tab w:val="clear" w:pos="216"/>
          <w:tab w:val="clear" w:pos="432"/>
          <w:tab w:val="clear" w:pos="648"/>
          <w:tab w:val="clear" w:pos="864"/>
          <w:tab w:val="clear" w:pos="1080"/>
          <w:tab w:val="clear" w:pos="1296"/>
          <w:tab w:val="clear" w:pos="5904"/>
          <w:tab w:val="right" w:pos="5933"/>
        </w:tabs>
      </w:pPr>
      <w:r>
        <w:tab/>
      </w:r>
      <w:r>
        <w:rPr>
          <w:b/>
          <w:sz w:val="36"/>
        </w:rPr>
        <w:t>H. 4520</w:t>
      </w:r>
    </w:p>
    <w:p w:rsidR="007F4A84" w:rsidRDefault="007F4A84" w:rsidP="001D7F4F">
      <w:pPr>
        <w:pStyle w:val="BillDots"/>
      </w:pPr>
    </w:p>
    <w:p w:rsidR="007F4A84" w:rsidRDefault="007F4A84" w:rsidP="00906149">
      <w:pPr>
        <w:pStyle w:val="BillDots"/>
        <w:jc w:val="center"/>
      </w:pPr>
      <w:r>
        <w:t>Introduced by Reps. Herbkersman and Bowers</w:t>
      </w:r>
    </w:p>
    <w:p w:rsidR="007F4A84" w:rsidRDefault="007F4A84" w:rsidP="001D7F4F">
      <w:pPr>
        <w:pStyle w:val="BillDots"/>
      </w:pPr>
    </w:p>
    <w:p w:rsidR="007F4A84" w:rsidRDefault="007F4A84" w:rsidP="001D7F4F">
      <w:pPr>
        <w:pStyle w:val="BillDots"/>
      </w:pPr>
      <w:r>
        <w:t>S. Printed 5/28/14--H.</w:t>
      </w:r>
    </w:p>
    <w:p w:rsidR="007F4A84" w:rsidRDefault="007F4A84" w:rsidP="001D7F4F">
      <w:pPr>
        <w:pStyle w:val="BillDots"/>
      </w:pPr>
      <w:r>
        <w:t>Read the first time January 21, 2014.</w:t>
      </w:r>
    </w:p>
    <w:p w:rsidR="007F4A84" w:rsidRPr="00906149" w:rsidRDefault="007F4A84" w:rsidP="00906149">
      <w:pPr>
        <w:pStyle w:val="BillDots"/>
        <w:jc w:val="center"/>
      </w:pPr>
      <w:r>
        <w:rPr>
          <w:u w:val="single"/>
        </w:rPr>
        <w:t>            </w:t>
      </w:r>
    </w:p>
    <w:p w:rsidR="007F4A84" w:rsidRDefault="007F4A84" w:rsidP="001D7F4F">
      <w:pPr>
        <w:pStyle w:val="BillDots"/>
      </w:pPr>
    </w:p>
    <w:p w:rsidR="007F4A84" w:rsidRPr="00906149" w:rsidRDefault="007F4A84" w:rsidP="00906149">
      <w:pPr>
        <w:pStyle w:val="BillDots"/>
        <w:jc w:val="center"/>
      </w:pPr>
      <w:r>
        <w:rPr>
          <w:b/>
          <w:u w:val="single"/>
        </w:rPr>
        <w:t>STATEMENT OF ESTIMATED FISCAL IMPACT</w:t>
      </w:r>
    </w:p>
    <w:p w:rsidR="007F4A84" w:rsidRPr="000A6EF6" w:rsidRDefault="007F4A84"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A6EF6">
        <w:rPr>
          <w:b/>
          <w:szCs w:val="22"/>
        </w:rPr>
        <w:t xml:space="preserve">REVENUE IMPACT </w:t>
      </w:r>
      <w:r w:rsidRPr="000A6EF6">
        <w:rPr>
          <w:b/>
          <w:szCs w:val="22"/>
          <w:vertAlign w:val="superscript"/>
        </w:rPr>
        <w:t>1/</w:t>
      </w:r>
    </w:p>
    <w:p w:rsidR="007F4A84" w:rsidRPr="000A6EF6" w:rsidRDefault="007F4A84"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 xml:space="preserve">This bill is not expected to impact </w:t>
      </w:r>
      <w:r>
        <w:rPr>
          <w:szCs w:val="22"/>
        </w:rPr>
        <w:t>s</w:t>
      </w:r>
      <w:r w:rsidRPr="000A6EF6">
        <w:rPr>
          <w:szCs w:val="22"/>
        </w:rPr>
        <w:t>tate revenues.  We estimate that the bill as amended may lower property tax revenues by up to $20,238,000 in FY 2014-15. To the extent possible given the millage rate increase limitations, we anticipate that local jurisdictions would increase millage rates to offset the revenue reduction.</w:t>
      </w:r>
    </w:p>
    <w:p w:rsidR="007F4A84" w:rsidRPr="000A6EF6" w:rsidRDefault="007F4A84"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A6EF6">
        <w:rPr>
          <w:b/>
          <w:szCs w:val="22"/>
        </w:rPr>
        <w:t>Explanation of Amendment (May 15, 2014) – By the House Ways &amp; Means Committee</w:t>
      </w:r>
    </w:p>
    <w:p w:rsidR="007F4A84" w:rsidRPr="000A6EF6" w:rsidRDefault="007F4A84"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 xml:space="preserve">This amendment expands the conditions that allow taxpayers to claim an additional four percent assessment for a residential property other than their legal residence. The original bill allows a taxpayer to claim the four percent assessment ratio on a second property other than his/her legal residence so long as the second property is used as a residence by a family member who is over the age of sixty-five and does not pay rent. The amendment expands this to also include a family member who is permanently and totally disabled as defined in Section 12-37-250.  </w:t>
      </w:r>
    </w:p>
    <w:p w:rsidR="007F4A84" w:rsidRPr="000A6EF6" w:rsidRDefault="007F4A84"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 xml:space="preserve">As originally calculated, an estimated 56,753 second homes are potentially used as a residence by a family member without paying rent. Based upon 2010 Census data, we estimate that approximately 20.6% of the population would meet the family member qualifications as over 65 or permanently and totally disabled, and therefore estimate that the amended bill would apply to a potential 11,691 homes. The assessment ratio reduction from 6% to 4% for the 11,691 homes would potentially lower property tax revenue by an estimated $10,432,000 in tax year 2014. School operating property taxes for the 11,691 homes would potentially be reduced an estimated $9,806,000 in tax year 2014 for the </w:t>
      </w:r>
      <w:r w:rsidRPr="000A6EF6">
        <w:rPr>
          <w:szCs w:val="22"/>
        </w:rPr>
        <w:lastRenderedPageBreak/>
        <w:t xml:space="preserve">additional school operating exemption allowed for properties receiving the special assessment ratio. </w:t>
      </w:r>
    </w:p>
    <w:p w:rsidR="007F4A84" w:rsidRPr="000A6EF6" w:rsidRDefault="007F4A84"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The total potential local property tax revenue reduction for both the reduced assessment ratio and the school operating exemption is estimated to be $20,238,000 in FY 2014-15 or approximately $1,731 per taxpayer. To the extent possible given the millage rate increase limitations, we anticipate that local jurisdictions would increase millage rates to offset the revenue reduction.</w:t>
      </w:r>
    </w:p>
    <w:p w:rsidR="007F4A84" w:rsidRPr="000A6EF6" w:rsidRDefault="007F4A84"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A6EF6">
        <w:rPr>
          <w:b/>
          <w:szCs w:val="22"/>
        </w:rPr>
        <w:t>Explanation of Bill</w:t>
      </w:r>
    </w:p>
    <w:p w:rsidR="007F4A84" w:rsidRPr="000A6EF6" w:rsidRDefault="007F4A84"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 xml:space="preserve">This bill would amend Section 12-43-220(c) to allow a taxpayer to claim the four percent assessment ratio on a second property other than his/her legal residence so long as the second property is used as a residence by a family member who is over the age of sixty-five. The section defines family member as a parent, sibling, child, aunt, uncle, mother-in-law, father-in-law, son-in-law, daughter-in-law, brother-in-law, sister-in-law, grandparent, or grandchild. The reduced assessment ratio does not apply if family member pays rent. We estimate that this change would impact properties that are currently classified as second homes. We do not anticipate that taxpayers would elect the reduced assessment ratio for properties that are currently rental properties because the section specifies that the family member may not pay rent, and the property tax reduction is unlikely to exceed the rental income. The section is effective for tax years after 2013. </w:t>
      </w:r>
    </w:p>
    <w:p w:rsidR="007F4A84" w:rsidRPr="000A6EF6" w:rsidRDefault="007F4A84"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Based upon Census data for housing property, we estimate that there are approximately 257,968 second home properties in SC that are rented less than 14 days per year. An April 2014 report by the National Association of Realtors determined that 22% of vacation properties are purchased for a family member, friend, or relative. Based upon this, an estimated 56,753 second homes are potentially used as a residence by a family member without paying rent. Using the current percentage of people over the age of sixty-five in SC, we further estimate that 14.7% of these properties, or 8,343 homes, are used by a family member over sixty-five.</w:t>
      </w:r>
    </w:p>
    <w:p w:rsidR="007F4A84" w:rsidRPr="000A6EF6" w:rsidRDefault="007F4A84"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 xml:space="preserve">At an average value of $140,427, the bill would impact an estimated $1,171,582,000 in property value for the 8,343 potentially qualifying properties. The assessment ratio reduction from 6% to 4% at an average statewide millage rate of 317.7 would potentially lower property tax revenue by an estimated $7,444,000 in tax year 2014. </w:t>
      </w:r>
    </w:p>
    <w:p w:rsidR="007F4A84" w:rsidRPr="000A6EF6" w:rsidRDefault="007F4A84"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 xml:space="preserve">Additionally, the section designates that the property receives all exemptions allowed applicable to property that qualifies for the special assessment ratio. This would extend the school operating property tax exemptions to these properties, potentially reducing property tax revenue to school districts an additional $6,998,000 in tax year 2014. We do not, however, anticipate that taxpayers over sixty-five would be allowed to take an additional homestead exemption on a second home since only one is allowed under the Constitution, and therefore we have not included this in our revenue estimate.  </w:t>
      </w:r>
    </w:p>
    <w:p w:rsidR="007F4A84" w:rsidRPr="000A6EF6" w:rsidRDefault="007F4A84"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The total potential local property tax revenue reduction for both the reduced assessment ratio and the school operating exemption is estimated to be $14,442,000 in FY 2014-15 or approximately $1,731 per taxpayer. To the extent possible given the millage rate increase limitations, we anticipate that local jurisdictions would increase millage rates to offset the revenue reduction.</w:t>
      </w:r>
    </w:p>
    <w:p w:rsidR="007F4A84" w:rsidRDefault="007F4A84" w:rsidP="001D7F4F">
      <w:pPr>
        <w:pStyle w:val="BillDots"/>
      </w:pPr>
    </w:p>
    <w:p w:rsidR="007F4A84" w:rsidRDefault="007F4A84" w:rsidP="0090614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F4A84" w:rsidRDefault="007F4A84" w:rsidP="00906149">
      <w:pPr>
        <w:pStyle w:val="BillDots"/>
        <w:tabs>
          <w:tab w:val="clear" w:pos="216"/>
          <w:tab w:val="clear" w:pos="432"/>
          <w:tab w:val="clear" w:pos="648"/>
          <w:tab w:val="clear" w:pos="864"/>
          <w:tab w:val="clear" w:pos="1080"/>
          <w:tab w:val="clear" w:pos="1296"/>
          <w:tab w:val="clear" w:pos="5904"/>
          <w:tab w:val="left" w:pos="3024"/>
        </w:tabs>
      </w:pPr>
      <w:r>
        <w:tab/>
        <w:t>Frank A. Rainwater</w:t>
      </w:r>
    </w:p>
    <w:p w:rsidR="007F4A84" w:rsidRPr="00906149" w:rsidRDefault="007F4A84" w:rsidP="00906149">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7F4A84" w:rsidRDefault="007F4A84" w:rsidP="001D7F4F">
      <w:pPr>
        <w:pStyle w:val="BillDots"/>
      </w:pPr>
    </w:p>
    <w:p w:rsidR="007F4A84" w:rsidRDefault="007F4A84" w:rsidP="001D7F4F">
      <w:pPr>
        <w:pStyle w:val="BillDots"/>
      </w:pPr>
      <w:r>
        <w:rPr>
          <w:sz w:val="18"/>
        </w:rPr>
        <w:t>1/ This statement meets the requirement of Section 2-7-76 for a local revenue impact or Section 6-1-85(B) for an estimate of the shift in local property tax incidence by the Office of Economic Research.</w:t>
      </w:r>
    </w:p>
    <w:p w:rsidR="007F4A84" w:rsidRPr="00906149" w:rsidRDefault="007F4A84" w:rsidP="001D7F4F">
      <w:pPr>
        <w:pStyle w:val="BillDots"/>
        <w:sectPr w:rsidR="007F4A84" w:rsidRPr="00906149" w:rsidSect="00DF27A1">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7F4A84" w:rsidRDefault="007F4A84" w:rsidP="001D7F4F">
      <w:pPr>
        <w:pStyle w:val="BillDots"/>
      </w:pPr>
    </w:p>
    <w:p w:rsidR="007F4A84" w:rsidRDefault="007F4A84" w:rsidP="003D01E8">
      <w:pPr>
        <w:pStyle w:val="Numbersforbills"/>
      </w:pPr>
    </w:p>
    <w:p w:rsidR="007F4A84" w:rsidRDefault="007F4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84" w:rsidRDefault="007F4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84" w:rsidRDefault="007F4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84" w:rsidRDefault="007F4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84" w:rsidRDefault="007F4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84" w:rsidRDefault="007F4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84" w:rsidRPr="00325348" w:rsidRDefault="007F4A84" w:rsidP="008B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F4A84" w:rsidRDefault="007F4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84" w:rsidRPr="002D46BE" w:rsidRDefault="007F4A84"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D46BE">
        <w:rPr>
          <w:color w:val="000000" w:themeColor="text1"/>
          <w:u w:color="000000" w:themeColor="text1"/>
        </w:rPr>
        <w:t>TO AMEND SECTION 12</w:t>
      </w:r>
      <w:r>
        <w:rPr>
          <w:color w:val="000000" w:themeColor="text1"/>
          <w:u w:color="000000" w:themeColor="text1"/>
        </w:rPr>
        <w:noBreakHyphen/>
      </w:r>
      <w:r w:rsidRPr="002D46BE">
        <w:rPr>
          <w:color w:val="000000" w:themeColor="text1"/>
          <w:u w:color="000000" w:themeColor="text1"/>
        </w:rPr>
        <w:t>43</w:t>
      </w:r>
      <w:r>
        <w:rPr>
          <w:color w:val="000000" w:themeColor="text1"/>
          <w:u w:color="000000" w:themeColor="text1"/>
        </w:rPr>
        <w:noBreakHyphen/>
      </w:r>
      <w:r w:rsidRPr="002D46BE">
        <w:rPr>
          <w:color w:val="000000" w:themeColor="text1"/>
          <w:u w:color="000000" w:themeColor="text1"/>
        </w:rPr>
        <w:t xml:space="preserve">220, AS AMENDED, CODE OF LAWS OF SOUTH CAROLINA, 1976, SO AS TO ENACT </w:t>
      </w:r>
      <w:r>
        <w:rPr>
          <w:color w:val="000000" w:themeColor="text1"/>
          <w:u w:color="000000" w:themeColor="text1"/>
        </w:rPr>
        <w:t>“</w:t>
      </w:r>
      <w:r w:rsidRPr="002D46BE">
        <w:rPr>
          <w:color w:val="000000" w:themeColor="text1"/>
          <w:u w:color="000000" w:themeColor="text1"/>
        </w:rPr>
        <w:t>UNCLE PRESTON</w:t>
      </w:r>
      <w:r w:rsidRPr="00FC3785">
        <w:rPr>
          <w:color w:val="000000" w:themeColor="text1"/>
          <w:u w:color="000000" w:themeColor="text1"/>
        </w:rPr>
        <w:t>’</w:t>
      </w:r>
      <w:r w:rsidRPr="002D46BE">
        <w:rPr>
          <w:color w:val="000000" w:themeColor="text1"/>
          <w:u w:color="000000" w:themeColor="text1"/>
        </w:rPr>
        <w:t>S LAW</w:t>
      </w:r>
      <w:r>
        <w:rPr>
          <w:color w:val="000000" w:themeColor="text1"/>
          <w:u w:color="000000" w:themeColor="text1"/>
        </w:rPr>
        <w:t>”</w:t>
      </w:r>
      <w:r w:rsidRPr="002D46BE">
        <w:rPr>
          <w:color w:val="000000" w:themeColor="text1"/>
          <w:u w:color="000000" w:themeColor="text1"/>
        </w:rPr>
        <w:t xml:space="preserve"> TO ALLOW A TAXPAYER TO CLAIM THE FOUR PERCENT ASSESSMENT RATIO ON A RESIDENTIAL PROPERTY OTHER THAN THEIR LEGAL RESIDENCE IF THE ADDITIONAL RESIDENCE IS USED AS A RESIDENCE BY A FAMILY MEMBER WHO IS OVER THE AGE OF SIXTY</w:t>
      </w:r>
      <w:r>
        <w:rPr>
          <w:color w:val="000000" w:themeColor="text1"/>
          <w:u w:color="000000" w:themeColor="text1"/>
        </w:rPr>
        <w:noBreakHyphen/>
      </w:r>
      <w:r w:rsidRPr="002D46BE">
        <w:rPr>
          <w:color w:val="000000" w:themeColor="text1"/>
          <w:u w:color="000000" w:themeColor="text1"/>
        </w:rPr>
        <w:t>FIVE.</w:t>
      </w:r>
    </w:p>
    <w:p w:rsidR="007F4A84" w:rsidRDefault="007F4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F4A84" w:rsidRDefault="007F4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A84" w:rsidRDefault="007F4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A84" w:rsidRPr="002D46BE" w:rsidRDefault="007F4A84"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A84" w:rsidRPr="002D46BE" w:rsidRDefault="007F4A84"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SECTION</w:t>
      </w:r>
      <w:r w:rsidRPr="002D46BE">
        <w:rPr>
          <w:color w:val="000000" w:themeColor="text1"/>
          <w:u w:color="000000" w:themeColor="text1"/>
        </w:rPr>
        <w:tab/>
        <w:t>1.</w:t>
      </w:r>
      <w:r w:rsidRPr="002D46BE">
        <w:rPr>
          <w:color w:val="000000" w:themeColor="text1"/>
          <w:u w:color="000000" w:themeColor="text1"/>
        </w:rPr>
        <w:tab/>
        <w:t xml:space="preserve">This act may be cited as </w:t>
      </w:r>
      <w:r>
        <w:rPr>
          <w:color w:val="000000" w:themeColor="text1"/>
          <w:u w:color="000000" w:themeColor="text1"/>
        </w:rPr>
        <w:t>“U</w:t>
      </w:r>
      <w:r w:rsidRPr="002D46BE">
        <w:rPr>
          <w:color w:val="000000" w:themeColor="text1"/>
          <w:u w:color="000000" w:themeColor="text1"/>
        </w:rPr>
        <w:t>ncle Preston</w:t>
      </w:r>
      <w:r w:rsidRPr="00FC3785">
        <w:rPr>
          <w:color w:val="000000" w:themeColor="text1"/>
          <w:u w:color="000000" w:themeColor="text1"/>
        </w:rPr>
        <w:t>’</w:t>
      </w:r>
      <w:r w:rsidRPr="002D46BE">
        <w:rPr>
          <w:color w:val="000000" w:themeColor="text1"/>
          <w:u w:color="000000" w:themeColor="text1"/>
        </w:rPr>
        <w:t>s Law</w:t>
      </w:r>
      <w:r>
        <w:rPr>
          <w:color w:val="000000" w:themeColor="text1"/>
          <w:u w:color="000000" w:themeColor="text1"/>
        </w:rPr>
        <w:t>”</w:t>
      </w:r>
      <w:r w:rsidRPr="002D46BE">
        <w:rPr>
          <w:color w:val="000000" w:themeColor="text1"/>
          <w:u w:color="000000" w:themeColor="text1"/>
        </w:rPr>
        <w:t>.</w:t>
      </w:r>
    </w:p>
    <w:p w:rsidR="007F4A84" w:rsidRPr="002D46BE" w:rsidRDefault="007F4A84"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A84" w:rsidRPr="002D46BE" w:rsidRDefault="007F4A84"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SECTION</w:t>
      </w:r>
      <w:r w:rsidRPr="002D46BE">
        <w:rPr>
          <w:color w:val="000000" w:themeColor="text1"/>
          <w:u w:color="000000" w:themeColor="text1"/>
        </w:rPr>
        <w:tab/>
        <w:t>2.</w:t>
      </w:r>
      <w:r w:rsidRPr="002D46BE">
        <w:rPr>
          <w:color w:val="000000" w:themeColor="text1"/>
          <w:u w:color="000000" w:themeColor="text1"/>
        </w:rPr>
        <w:tab/>
        <w:t>Section 12</w:t>
      </w:r>
      <w:r>
        <w:rPr>
          <w:color w:val="000000" w:themeColor="text1"/>
          <w:u w:color="000000" w:themeColor="text1"/>
        </w:rPr>
        <w:noBreakHyphen/>
      </w:r>
      <w:r w:rsidRPr="002D46BE">
        <w:rPr>
          <w:color w:val="000000" w:themeColor="text1"/>
          <w:u w:color="000000" w:themeColor="text1"/>
        </w:rPr>
        <w:t>43</w:t>
      </w:r>
      <w:r>
        <w:rPr>
          <w:color w:val="000000" w:themeColor="text1"/>
          <w:u w:color="000000" w:themeColor="text1"/>
        </w:rPr>
        <w:noBreakHyphen/>
      </w:r>
      <w:r w:rsidRPr="002D46BE">
        <w:rPr>
          <w:color w:val="000000" w:themeColor="text1"/>
          <w:u w:color="000000" w:themeColor="text1"/>
        </w:rPr>
        <w:t>220(c) of the 1976 Code, as last amended by Act 179 of 2012, is further amended by adding an appropriately numbered subitem at the end to read:</w:t>
      </w:r>
    </w:p>
    <w:p w:rsidR="007F4A84" w:rsidRPr="002D46BE" w:rsidRDefault="007F4A84"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A84" w:rsidRPr="002D46BE" w:rsidRDefault="007F4A84"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ab/>
      </w:r>
      <w:r w:rsidRPr="00AA14CA">
        <w:rPr>
          <w:u w:color="000000" w:themeColor="text1"/>
        </w:rPr>
        <w:t>“(  )(i)</w:t>
      </w:r>
      <w:r w:rsidRPr="00AA14CA">
        <w:rPr>
          <w:u w:color="000000" w:themeColor="text1"/>
        </w:rPr>
        <w:tab/>
        <w:t>Notwithstanding any other provision of law, a taxpayer meeting all the other requirements of this subsection may claim the four percent assessment ratio on a residential property other than their legal residence if the additional residence is used as a residence by a family member who is over the age of sixty</w:t>
      </w:r>
      <w:r w:rsidRPr="00AA14CA">
        <w:rPr>
          <w:u w:color="000000" w:themeColor="text1"/>
        </w:rPr>
        <w:noBreakHyphen/>
        <w:t>five or is permanently and totally disabled.  This subitem does not apply if the family member pays rent.  For purposes of this subitem, ‘family member’ means a parent, sibling, child, aunt, uncle, mother</w:t>
      </w:r>
      <w:r w:rsidRPr="00AA14CA">
        <w:rPr>
          <w:u w:color="000000" w:themeColor="text1"/>
        </w:rPr>
        <w:noBreakHyphen/>
        <w:t>in</w:t>
      </w:r>
      <w:r w:rsidRPr="00AA14CA">
        <w:rPr>
          <w:u w:color="000000" w:themeColor="text1"/>
        </w:rPr>
        <w:noBreakHyphen/>
        <w:t>law, father</w:t>
      </w:r>
      <w:r w:rsidRPr="00AA14CA">
        <w:rPr>
          <w:u w:color="000000" w:themeColor="text1"/>
        </w:rPr>
        <w:noBreakHyphen/>
        <w:t>in</w:t>
      </w:r>
      <w:r w:rsidRPr="00AA14CA">
        <w:rPr>
          <w:u w:color="000000" w:themeColor="text1"/>
        </w:rPr>
        <w:noBreakHyphen/>
        <w:t>law, son</w:t>
      </w:r>
      <w:r w:rsidRPr="00AA14CA">
        <w:rPr>
          <w:u w:color="000000" w:themeColor="text1"/>
        </w:rPr>
        <w:noBreakHyphen/>
        <w:t>in</w:t>
      </w:r>
      <w:r w:rsidRPr="00AA14CA">
        <w:rPr>
          <w:u w:color="000000" w:themeColor="text1"/>
        </w:rPr>
        <w:noBreakHyphen/>
        <w:t>law, daughter</w:t>
      </w:r>
      <w:r w:rsidRPr="00AA14CA">
        <w:rPr>
          <w:u w:color="000000" w:themeColor="text1"/>
        </w:rPr>
        <w:noBreakHyphen/>
        <w:t>in</w:t>
      </w:r>
      <w:r w:rsidRPr="00AA14CA">
        <w:rPr>
          <w:u w:color="000000" w:themeColor="text1"/>
        </w:rPr>
        <w:noBreakHyphen/>
        <w:t>law, brother</w:t>
      </w:r>
      <w:r w:rsidRPr="00AA14CA">
        <w:rPr>
          <w:u w:color="000000" w:themeColor="text1"/>
        </w:rPr>
        <w:noBreakHyphen/>
        <w:t>in</w:t>
      </w:r>
      <w:r w:rsidRPr="00AA14CA">
        <w:rPr>
          <w:u w:color="000000" w:themeColor="text1"/>
        </w:rPr>
        <w:noBreakHyphen/>
        <w:t>law, sister</w:t>
      </w:r>
      <w:r w:rsidRPr="00AA14CA">
        <w:rPr>
          <w:u w:color="000000" w:themeColor="text1"/>
        </w:rPr>
        <w:noBreakHyphen/>
        <w:t>in</w:t>
      </w:r>
      <w:r w:rsidRPr="00AA14CA">
        <w:rPr>
          <w:u w:color="000000" w:themeColor="text1"/>
        </w:rPr>
        <w:noBreakHyphen/>
        <w:t>law, grandparent, or grandchild.  For purposes of this subitem, ‘permanently and totally disabled’ has the same meaning as provided in Section 12</w:t>
      </w:r>
      <w:r w:rsidRPr="00AA14CA">
        <w:rPr>
          <w:u w:color="000000" w:themeColor="text1"/>
        </w:rPr>
        <w:noBreakHyphen/>
        <w:t>37</w:t>
      </w:r>
      <w:r w:rsidRPr="00AA14CA">
        <w:rPr>
          <w:u w:color="000000" w:themeColor="text1"/>
        </w:rPr>
        <w:noBreakHyphen/>
        <w:t>250.</w:t>
      </w:r>
      <w:r w:rsidRPr="00AA14CA">
        <w:rPr>
          <w:u w:color="000000" w:themeColor="text1"/>
        </w:rPr>
        <w:tab/>
      </w:r>
    </w:p>
    <w:p w:rsidR="007F4A84" w:rsidRPr="002D46BE" w:rsidRDefault="007F4A84"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ab/>
      </w:r>
      <w:r w:rsidRPr="002D46BE">
        <w:rPr>
          <w:color w:val="000000" w:themeColor="text1"/>
          <w:u w:color="000000" w:themeColor="text1"/>
        </w:rPr>
        <w:tab/>
        <w:t>(ii)</w:t>
      </w:r>
      <w:r w:rsidRPr="002D46BE">
        <w:rPr>
          <w:color w:val="000000" w:themeColor="text1"/>
          <w:u w:color="000000" w:themeColor="text1"/>
        </w:rPr>
        <w:tab/>
        <w:t>This subitem does not apply unless the owner of the properties or the owner</w:t>
      </w:r>
      <w:r w:rsidRPr="00FC3785">
        <w:rPr>
          <w:color w:val="000000" w:themeColor="text1"/>
          <w:u w:color="000000" w:themeColor="text1"/>
        </w:rPr>
        <w:t>’</w:t>
      </w:r>
      <w:r w:rsidRPr="002D46BE">
        <w:rPr>
          <w:color w:val="000000" w:themeColor="text1"/>
          <w:u w:color="000000" w:themeColor="text1"/>
        </w:rPr>
        <w:t>s agent applies for the four percent assessment ratio on both residences before the first penalty date for 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w:t>
      </w:r>
      <w:r w:rsidRPr="00FC3785">
        <w:rPr>
          <w:color w:val="000000" w:themeColor="text1"/>
          <w:u w:color="000000" w:themeColor="text1"/>
        </w:rPr>
        <w:t>’</w:t>
      </w:r>
      <w:r w:rsidRPr="002D46BE">
        <w:rPr>
          <w:color w:val="000000" w:themeColor="text1"/>
          <w:u w:color="000000" w:themeColor="text1"/>
        </w:rPr>
        <w:t>s most recently filed South Carolina individual income tax return, copies of South Carolina motor vehicle registrations for all motor vehicles registered in the name of the owner, and other proof required by the assessor necessary to determine eligibility for the assessment ratio allowed by this subitem.</w:t>
      </w:r>
    </w:p>
    <w:p w:rsidR="007F4A84" w:rsidRPr="002D46BE" w:rsidRDefault="007F4A84"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ab/>
      </w:r>
      <w:r w:rsidRPr="002D46BE">
        <w:rPr>
          <w:color w:val="000000" w:themeColor="text1"/>
          <w:u w:color="000000" w:themeColor="text1"/>
        </w:rPr>
        <w:tab/>
        <w:t>(iii)</w:t>
      </w:r>
      <w:r w:rsidRPr="002D46BE">
        <w:rPr>
          <w:color w:val="000000" w:themeColor="text1"/>
          <w:u w:color="000000" w:themeColor="text1"/>
        </w:rPr>
        <w:tab/>
        <w:t>The special four percent assessment ratio allowed by this subitem must be construed as a property tax exemption for an amount of the fair market value of the residence sufficient to equal a four percent assessment ratio and other exemptions allowed applicable to property qualifying for the special assessment ratio.”</w:t>
      </w:r>
    </w:p>
    <w:p w:rsidR="007F4A84" w:rsidRPr="002D46BE" w:rsidRDefault="007F4A84"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A84" w:rsidRPr="00473ABE" w:rsidRDefault="007F4A84"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SECTION</w:t>
      </w:r>
      <w:r w:rsidRPr="002D46BE">
        <w:rPr>
          <w:color w:val="000000" w:themeColor="text1"/>
          <w:u w:color="000000" w:themeColor="text1"/>
        </w:rPr>
        <w:tab/>
        <w:t>3.</w:t>
      </w:r>
      <w:r w:rsidRPr="002D46BE">
        <w:rPr>
          <w:color w:val="000000" w:themeColor="text1"/>
          <w:u w:color="000000" w:themeColor="text1"/>
        </w:rPr>
        <w:tab/>
        <w:t>This act takes effect upon approval by the Governor and applies for property tax years beginning after 2013</w:t>
      </w:r>
      <w:r>
        <w:t>.</w:t>
      </w:r>
    </w:p>
    <w:p w:rsidR="007F4A84" w:rsidRDefault="007F4A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15A4" w:rsidRDefault="008B15A4" w:rsidP="007F4A84">
      <w:pPr>
        <w:pStyle w:val="BillDots"/>
      </w:pPr>
    </w:p>
    <w:sectPr w:rsidR="008B15A4" w:rsidSect="00DF27A1">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3AF" w:rsidRDefault="00BB13AF" w:rsidP="009F0C77">
      <w:r>
        <w:separator/>
      </w:r>
    </w:p>
  </w:endnote>
  <w:endnote w:type="continuationSeparator" w:id="0">
    <w:p w:rsidR="00BB13AF" w:rsidRDefault="00BB13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4362D8-34A1-459A-8A78-CD4A994C0BAC}"/>
    <w:embedBold r:id="rId2" w:fontKey="{399D55C0-3E4D-48A9-BAC0-85980AB92DEF}"/>
    <w:embedItalic r:id="rId3" w:fontKey="{07733328-9251-48A8-A590-44527B46262E}"/>
  </w:font>
  <w:font w:name="Calibri">
    <w:panose1 w:val="020F0502020204030204"/>
    <w:charset w:val="00"/>
    <w:family w:val="swiss"/>
    <w:pitch w:val="variable"/>
    <w:sig w:usb0="E10002FF" w:usb1="4000ACFF" w:usb2="00000009" w:usb3="00000000" w:csb0="0000019F" w:csb1="00000000"/>
    <w:embedRegular r:id="rId4" w:fontKey="{0E48C978-F765-4DCD-A788-0F8813989C32}"/>
  </w:font>
  <w:font w:name="Cambria">
    <w:panose1 w:val="02040503050406030204"/>
    <w:charset w:val="00"/>
    <w:family w:val="roman"/>
    <w:pitch w:val="variable"/>
    <w:sig w:usb0="E00002FF" w:usb1="400004FF" w:usb2="00000000" w:usb3="00000000" w:csb0="0000019F" w:csb1="00000000"/>
    <w:embedRegular r:id="rId5" w:fontKey="{50227FCA-6C50-4886-9695-1D4CBCA2AD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A84" w:rsidRPr="008B15A4" w:rsidRDefault="007F4A84" w:rsidP="008B15A4">
    <w:pPr>
      <w:pStyle w:val="Footer"/>
      <w:tabs>
        <w:tab w:val="clear" w:pos="4680"/>
        <w:tab w:val="clear" w:pos="9360"/>
        <w:tab w:val="center" w:pos="2995"/>
      </w:tabs>
      <w:spacing w:before="120"/>
    </w:pPr>
    <w:r>
      <w:t>[4520-</w:t>
    </w:r>
    <w:r w:rsidR="00A37DCD">
      <w:fldChar w:fldCharType="begin"/>
    </w:r>
    <w:r w:rsidR="00A37DCD">
      <w:instrText xml:space="preserve"> PAGE  \* MERGEFORMAT </w:instrText>
    </w:r>
    <w:r w:rsidR="00A37DCD">
      <w:fldChar w:fldCharType="separate"/>
    </w:r>
    <w:r w:rsidR="00FF234B">
      <w:rPr>
        <w:noProof/>
      </w:rPr>
      <w:t>1</w:t>
    </w:r>
    <w:r w:rsidR="00A37DC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7A1" w:rsidRPr="008B15A4" w:rsidRDefault="007F4A84" w:rsidP="008B15A4">
    <w:pPr>
      <w:pStyle w:val="Footer"/>
      <w:tabs>
        <w:tab w:val="clear" w:pos="4680"/>
        <w:tab w:val="clear" w:pos="9360"/>
        <w:tab w:val="center" w:pos="2995"/>
      </w:tabs>
      <w:spacing w:before="120"/>
    </w:pPr>
    <w:r>
      <w:t>[4520]</w:t>
    </w:r>
    <w:r>
      <w:tab/>
    </w:r>
    <w:r w:rsidR="00410BFD">
      <w:fldChar w:fldCharType="begin"/>
    </w:r>
    <w:r>
      <w:instrText xml:space="preserve"> PAGE  \* MERGEFORMAT </w:instrText>
    </w:r>
    <w:r w:rsidR="00410BFD">
      <w:fldChar w:fldCharType="separate"/>
    </w:r>
    <w:r>
      <w:rPr>
        <w:noProof/>
      </w:rPr>
      <w:t>2</w:t>
    </w:r>
    <w:r w:rsidR="00410BF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3AF" w:rsidRDefault="00BB13AF" w:rsidP="009F0C77">
      <w:r>
        <w:separator/>
      </w:r>
    </w:p>
  </w:footnote>
  <w:footnote w:type="continuationSeparator" w:id="0">
    <w:p w:rsidR="00BB13AF" w:rsidRDefault="00BB13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59DG14"/>
    <w:docVar w:name="CoverBillType" w:val="b"/>
    <w:docVar w:name="docpath" w:val="L:\Council\bills\BH\26059DG14.DOCX"/>
    <w:docVar w:name="dvBillNumber" w:val="4520"/>
    <w:docVar w:name="dvBillNumberPrefix" w:val="H. "/>
    <w:docVar w:name="dvOriginalBody" w:val="House"/>
    <w:docVar w:name="dvSteno" w:val="BH"/>
    <w:docVar w:name="NameofBody" w:val="h"/>
    <w:docVar w:name="vgroup2" w:val="Council"/>
  </w:docVars>
  <w:rsids>
    <w:rsidRoot w:val="003D40F4"/>
    <w:rsid w:val="00011869"/>
    <w:rsid w:val="000E1785"/>
    <w:rsid w:val="000F40FA"/>
    <w:rsid w:val="0010776B"/>
    <w:rsid w:val="00133E66"/>
    <w:rsid w:val="001435A3"/>
    <w:rsid w:val="001A70D0"/>
    <w:rsid w:val="001B4517"/>
    <w:rsid w:val="001D08F2"/>
    <w:rsid w:val="001D525B"/>
    <w:rsid w:val="001D7F4F"/>
    <w:rsid w:val="002321B6"/>
    <w:rsid w:val="00234D95"/>
    <w:rsid w:val="00250967"/>
    <w:rsid w:val="002543C8"/>
    <w:rsid w:val="00280D7B"/>
    <w:rsid w:val="00284AAE"/>
    <w:rsid w:val="00286392"/>
    <w:rsid w:val="002B19E2"/>
    <w:rsid w:val="002E5912"/>
    <w:rsid w:val="00301B21"/>
    <w:rsid w:val="00325348"/>
    <w:rsid w:val="0032732C"/>
    <w:rsid w:val="00336AD0"/>
    <w:rsid w:val="0035210D"/>
    <w:rsid w:val="0037079A"/>
    <w:rsid w:val="00395E3B"/>
    <w:rsid w:val="003A6CCC"/>
    <w:rsid w:val="003C49DA"/>
    <w:rsid w:val="003D01E8"/>
    <w:rsid w:val="003D40F4"/>
    <w:rsid w:val="003E5288"/>
    <w:rsid w:val="003F6D79"/>
    <w:rsid w:val="00410BFD"/>
    <w:rsid w:val="0041760A"/>
    <w:rsid w:val="00417C01"/>
    <w:rsid w:val="00456EB8"/>
    <w:rsid w:val="00473ABE"/>
    <w:rsid w:val="004809EE"/>
    <w:rsid w:val="00491434"/>
    <w:rsid w:val="0049292D"/>
    <w:rsid w:val="004E6889"/>
    <w:rsid w:val="004E7D54"/>
    <w:rsid w:val="005273C6"/>
    <w:rsid w:val="00530A69"/>
    <w:rsid w:val="00545593"/>
    <w:rsid w:val="00577C6C"/>
    <w:rsid w:val="005A4FC2"/>
    <w:rsid w:val="005C2FE2"/>
    <w:rsid w:val="005E2BC9"/>
    <w:rsid w:val="00605102"/>
    <w:rsid w:val="006215AA"/>
    <w:rsid w:val="0062183D"/>
    <w:rsid w:val="00677188"/>
    <w:rsid w:val="006913C9"/>
    <w:rsid w:val="0069470D"/>
    <w:rsid w:val="007143D7"/>
    <w:rsid w:val="00734F00"/>
    <w:rsid w:val="007A70AE"/>
    <w:rsid w:val="007F4A84"/>
    <w:rsid w:val="007F7C9D"/>
    <w:rsid w:val="008362E8"/>
    <w:rsid w:val="008A1768"/>
    <w:rsid w:val="008B15A4"/>
    <w:rsid w:val="008F0F33"/>
    <w:rsid w:val="008F4429"/>
    <w:rsid w:val="0094021A"/>
    <w:rsid w:val="0094783F"/>
    <w:rsid w:val="00966F0B"/>
    <w:rsid w:val="009B44AF"/>
    <w:rsid w:val="009C6A0B"/>
    <w:rsid w:val="009E5047"/>
    <w:rsid w:val="009F0C77"/>
    <w:rsid w:val="009F2E8F"/>
    <w:rsid w:val="009F4DD1"/>
    <w:rsid w:val="009F51D0"/>
    <w:rsid w:val="00A37DCD"/>
    <w:rsid w:val="00A41684"/>
    <w:rsid w:val="00A454E1"/>
    <w:rsid w:val="00A648C5"/>
    <w:rsid w:val="00A64E80"/>
    <w:rsid w:val="00A72BCD"/>
    <w:rsid w:val="00A741D9"/>
    <w:rsid w:val="00A80D4C"/>
    <w:rsid w:val="00A833AB"/>
    <w:rsid w:val="00A8666D"/>
    <w:rsid w:val="00A9741D"/>
    <w:rsid w:val="00AA574A"/>
    <w:rsid w:val="00AD4B17"/>
    <w:rsid w:val="00AD76DF"/>
    <w:rsid w:val="00B412D4"/>
    <w:rsid w:val="00B710C2"/>
    <w:rsid w:val="00BB13AF"/>
    <w:rsid w:val="00BE3C22"/>
    <w:rsid w:val="00C0345E"/>
    <w:rsid w:val="00C05A23"/>
    <w:rsid w:val="00C3483A"/>
    <w:rsid w:val="00C74E9D"/>
    <w:rsid w:val="00C82FD3"/>
    <w:rsid w:val="00C92819"/>
    <w:rsid w:val="00CC6B7B"/>
    <w:rsid w:val="00CD2089"/>
    <w:rsid w:val="00CD576C"/>
    <w:rsid w:val="00CE644C"/>
    <w:rsid w:val="00CF2869"/>
    <w:rsid w:val="00D06379"/>
    <w:rsid w:val="00D73A67"/>
    <w:rsid w:val="00D970A9"/>
    <w:rsid w:val="00DB5C8B"/>
    <w:rsid w:val="00DC7DA5"/>
    <w:rsid w:val="00DF3845"/>
    <w:rsid w:val="00E41911"/>
    <w:rsid w:val="00E57D7F"/>
    <w:rsid w:val="00E63244"/>
    <w:rsid w:val="00E92EEF"/>
    <w:rsid w:val="00EB0CE8"/>
    <w:rsid w:val="00F24442"/>
    <w:rsid w:val="00F50AE3"/>
    <w:rsid w:val="00F67CF1"/>
    <w:rsid w:val="00F840F0"/>
    <w:rsid w:val="00FA546A"/>
    <w:rsid w:val="00FB0D0D"/>
    <w:rsid w:val="00FB43B4"/>
    <w:rsid w:val="00FC0C73"/>
    <w:rsid w:val="00FC3785"/>
    <w:rsid w:val="00FF2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FC9CA7-4629-44B8-A206-D9DB3197D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34D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1-14.docx" TargetMode="External"/><Relationship Id="rId13" Type="http://schemas.openxmlformats.org/officeDocument/2006/relationships/hyperlink" Target="file:///H:\HJ%20Archive\2014\05-28-14.docx" TargetMode="External"/><Relationship Id="rId18" Type="http://schemas.openxmlformats.org/officeDocument/2006/relationships/hyperlink" Target="file:///p:\pprever\2013-14\4520_2014012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4\01-21-14.docx" TargetMode="External"/><Relationship Id="rId12" Type="http://schemas.openxmlformats.org/officeDocument/2006/relationships/hyperlink" Target="file:///H:\HJ%20Archive\2014\05-28-14.docx" TargetMode="External"/><Relationship Id="rId17" Type="http://schemas.openxmlformats.org/officeDocument/2006/relationships/hyperlink" Target="file:///H:\SJ%20Archive\2014\05-29-14.docx" TargetMode="External"/><Relationship Id="rId2" Type="http://schemas.openxmlformats.org/officeDocument/2006/relationships/styles" Target="styles.xml"/><Relationship Id="rId16" Type="http://schemas.openxmlformats.org/officeDocument/2006/relationships/hyperlink" Target="file:///H:\SJ%20Archive\2014\05-29-14.docx" TargetMode="External"/><Relationship Id="rId20" Type="http://schemas.openxmlformats.org/officeDocument/2006/relationships/hyperlink" Target="file:///p:\pprever\2013-14\4520_2014052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27-14.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4\05-29-14.docx" TargetMode="External"/><Relationship Id="rId23" Type="http://schemas.openxmlformats.org/officeDocument/2006/relationships/fontTable" Target="fontTable.xml"/><Relationship Id="rId10" Type="http://schemas.openxmlformats.org/officeDocument/2006/relationships/hyperlink" Target="file:///H:\HJ%20Archive\2014\05-22-14.docx" TargetMode="External"/><Relationship Id="rId19" Type="http://schemas.openxmlformats.org/officeDocument/2006/relationships/hyperlink" Target="file:///p:\pprever\2013-14\4520_20140515.docx" TargetMode="External"/><Relationship Id="rId4" Type="http://schemas.openxmlformats.org/officeDocument/2006/relationships/webSettings" Target="webSettings.xml"/><Relationship Id="rId9" Type="http://schemas.openxmlformats.org/officeDocument/2006/relationships/hyperlink" Target="file:///H:\HJ%20Archive\2014\05-15-14.docx" TargetMode="External"/><Relationship Id="rId14" Type="http://schemas.openxmlformats.org/officeDocument/2006/relationships/hyperlink" Target="file:///H:\HJ%20Archive\2014\05-28-1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AC7F5-A50B-4CEF-8E14-347896756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1560</Words>
  <Characters>8898</Characters>
  <Application>Microsoft Office Word</Application>
  <DocSecurity>0</DocSecurity>
  <Lines>74</Lines>
  <Paragraphs>20</Paragraphs>
  <ScaleCrop>false</ScaleCrop>
  <Company>LPITS</Company>
  <LinksUpToDate>false</LinksUpToDate>
  <CharactersWithSpaces>10438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4520: Uncle Preston's Law - South Carolina Legislature Online</dc:title>
  <dc:creator>%USERNAME%</dc:creator>
  <cp:lastModifiedBy>N Cumfer</cp:lastModifiedBy>
  <cp:revision>9</cp:revision>
  <cp:lastPrinted>2014-01-17T14:27:00Z</cp:lastPrinted>
  <dcterms:created xsi:type="dcterms:W3CDTF">2014-05-28T22:54:00Z</dcterms:created>
  <dcterms:modified xsi:type="dcterms:W3CDTF">2014-12-05T16:57:00Z</dcterms:modified>
</cp:coreProperties>
</file>