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00B" w:rsidRDefault="00B5400B" w:rsidP="00B5400B">
      <w:pPr>
        <w:widowControl w:val="0"/>
        <w:jc w:val="center"/>
      </w:pPr>
      <w:r w:rsidRPr="00B5400B">
        <w:rPr>
          <w:b/>
        </w:rPr>
        <w:t>South Carolina General Assembly</w:t>
      </w:r>
    </w:p>
    <w:p w:rsidR="00B5400B" w:rsidRDefault="00B5400B" w:rsidP="00B5400B">
      <w:pPr>
        <w:widowControl w:val="0"/>
        <w:jc w:val="center"/>
      </w:pPr>
      <w:r>
        <w:t>120th Session, 2013-2014</w:t>
      </w:r>
    </w:p>
    <w:p w:rsidR="00B5400B" w:rsidRDefault="00B5400B" w:rsidP="00B5400B">
      <w:pPr>
        <w:widowControl w:val="0"/>
        <w:jc w:val="left"/>
      </w:pPr>
    </w:p>
    <w:p w:rsidR="00B5400B" w:rsidRDefault="00B5400B" w:rsidP="00B5400B">
      <w:pPr>
        <w:widowControl w:val="0"/>
        <w:jc w:val="left"/>
        <w:rPr>
          <w:b/>
        </w:rPr>
      </w:pPr>
      <w:r w:rsidRPr="00B5400B">
        <w:rPr>
          <w:b/>
        </w:rPr>
        <w:t>H. 4913</w:t>
      </w:r>
    </w:p>
    <w:p w:rsidR="00B5400B" w:rsidRDefault="00B5400B" w:rsidP="00B5400B">
      <w:pPr>
        <w:widowControl w:val="0"/>
        <w:jc w:val="left"/>
        <w:rPr>
          <w:b/>
        </w:rPr>
      </w:pPr>
    </w:p>
    <w:p w:rsidR="00B5400B" w:rsidRDefault="00B5400B" w:rsidP="00B5400B">
      <w:pPr>
        <w:widowControl w:val="0"/>
        <w:jc w:val="left"/>
      </w:pPr>
      <w:r w:rsidRPr="00B5400B">
        <w:rPr>
          <w:b/>
        </w:rPr>
        <w:t>STATUS INFORMATION</w:t>
      </w:r>
    </w:p>
    <w:p w:rsidR="00B5400B" w:rsidRDefault="00B5400B" w:rsidP="00B5400B">
      <w:pPr>
        <w:widowControl w:val="0"/>
        <w:jc w:val="left"/>
      </w:pPr>
    </w:p>
    <w:p w:rsidR="00B5400B" w:rsidRDefault="00B5400B" w:rsidP="00B5400B">
      <w:pPr>
        <w:widowControl w:val="0"/>
        <w:jc w:val="left"/>
      </w:pPr>
      <w:r>
        <w:t>General Bill</w:t>
      </w:r>
    </w:p>
    <w:p w:rsidR="00B5400B" w:rsidRDefault="00B5400B" w:rsidP="00B5400B">
      <w:pPr>
        <w:widowControl w:val="0"/>
        <w:jc w:val="left"/>
      </w:pPr>
      <w:r>
        <w:t>Sponsors: Reps. Long, Erickson, M.S. McLeod, Daning, McCoy, Govan, J.E. Smith, Douglas, McEachern, Bales, Southard, Jefferson, Patrick, Robinson</w:t>
      </w:r>
      <w:r>
        <w:noBreakHyphen/>
        <w:t>Simpson, Anderson, J.R. Smith, Gilliard, Nanney, Ballentine, R.L. Brown, Dillard, Finlay, Funderburk, Hardwick, Henderson, Hixon, Hodges, Hosey, Huggins, Limehouse, W.J. McLeod, V.S. Moss, Munnerlyn, Newton, Sabb, Simrill, G.R. Smith, Stringer, Thayer, Whipper, Willis and Wood</w:t>
      </w:r>
    </w:p>
    <w:p w:rsidR="00B5400B" w:rsidRDefault="00B5400B" w:rsidP="00B5400B">
      <w:pPr>
        <w:widowControl w:val="0"/>
        <w:jc w:val="left"/>
      </w:pPr>
      <w:r>
        <w:t>Document Path: l:\council\bills\nbd\11325ahb14.docx</w:t>
      </w:r>
    </w:p>
    <w:p w:rsidR="002521CC" w:rsidRDefault="00F67DD5" w:rsidP="00B5400B">
      <w:pPr>
        <w:widowControl w:val="0"/>
        <w:jc w:val="left"/>
      </w:pPr>
      <w:r>
        <w:t>Companion/Similar bill(s): 1132, 4886</w:t>
      </w:r>
    </w:p>
    <w:p w:rsidR="00B5400B" w:rsidRDefault="00B5400B" w:rsidP="00B5400B">
      <w:pPr>
        <w:widowControl w:val="0"/>
        <w:jc w:val="left"/>
      </w:pPr>
    </w:p>
    <w:p w:rsidR="00B5400B" w:rsidRDefault="00B5400B" w:rsidP="00B5400B">
      <w:pPr>
        <w:widowControl w:val="0"/>
        <w:jc w:val="left"/>
      </w:pPr>
      <w:r>
        <w:t>Introduced in the House on March 12, 2014</w:t>
      </w:r>
    </w:p>
    <w:p w:rsidR="00B5400B" w:rsidRDefault="00B5400B" w:rsidP="00B5400B">
      <w:pPr>
        <w:widowControl w:val="0"/>
        <w:jc w:val="left"/>
      </w:pPr>
      <w:r>
        <w:t xml:space="preserve">Currently residing in the House Committee on </w:t>
      </w:r>
      <w:r w:rsidRPr="00B5400B">
        <w:rPr>
          <w:b/>
        </w:rPr>
        <w:t>Judiciary</w:t>
      </w:r>
    </w:p>
    <w:p w:rsidR="00B5400B" w:rsidRDefault="00B5400B" w:rsidP="00B5400B">
      <w:pPr>
        <w:widowControl w:val="0"/>
        <w:jc w:val="left"/>
      </w:pPr>
    </w:p>
    <w:p w:rsidR="00B5400B" w:rsidRDefault="00B5400B" w:rsidP="00B5400B">
      <w:pPr>
        <w:widowControl w:val="0"/>
        <w:jc w:val="left"/>
      </w:pPr>
      <w:r>
        <w:t xml:space="preserve">Summary: </w:t>
      </w:r>
      <w:r w:rsidR="004505F5">
        <w:t>Teen Dating Violence Prevention Act</w:t>
      </w:r>
    </w:p>
    <w:p w:rsidR="00B5400B" w:rsidRDefault="00B5400B" w:rsidP="00B5400B">
      <w:pPr>
        <w:widowControl w:val="0"/>
        <w:jc w:val="left"/>
      </w:pPr>
    </w:p>
    <w:p w:rsidR="00B5400B" w:rsidRDefault="00B5400B" w:rsidP="00B5400B">
      <w:pPr>
        <w:widowControl w:val="0"/>
        <w:jc w:val="left"/>
      </w:pPr>
    </w:p>
    <w:p w:rsidR="00B5400B" w:rsidRDefault="00B5400B" w:rsidP="00B5400B">
      <w:pPr>
        <w:widowControl w:val="0"/>
        <w:tabs>
          <w:tab w:val="center" w:pos="590"/>
          <w:tab w:val="center" w:pos="1440"/>
          <w:tab w:val="left" w:pos="1872"/>
          <w:tab w:val="left" w:pos="9187"/>
        </w:tabs>
        <w:jc w:val="left"/>
      </w:pPr>
      <w:r w:rsidRPr="00B5400B">
        <w:rPr>
          <w:b/>
        </w:rPr>
        <w:t>HISTORY OF LEGISLATIVE ACTIONS</w:t>
      </w:r>
    </w:p>
    <w:p w:rsidR="00B5400B" w:rsidRDefault="00B5400B" w:rsidP="00B5400B">
      <w:pPr>
        <w:widowControl w:val="0"/>
        <w:tabs>
          <w:tab w:val="center" w:pos="590"/>
          <w:tab w:val="center" w:pos="1440"/>
          <w:tab w:val="left" w:pos="1872"/>
          <w:tab w:val="left" w:pos="9187"/>
        </w:tabs>
        <w:jc w:val="left"/>
      </w:pPr>
    </w:p>
    <w:p w:rsidR="00B5400B" w:rsidRPr="00B5400B" w:rsidRDefault="00B5400B" w:rsidP="00B5400B">
      <w:pPr>
        <w:widowControl w:val="0"/>
        <w:tabs>
          <w:tab w:val="center" w:pos="590"/>
          <w:tab w:val="center" w:pos="1440"/>
          <w:tab w:val="left" w:pos="1872"/>
          <w:tab w:val="left" w:pos="9187"/>
        </w:tabs>
        <w:jc w:val="left"/>
      </w:pPr>
      <w:r w:rsidRPr="00B5400B">
        <w:rPr>
          <w:u w:val="single"/>
        </w:rPr>
        <w:tab/>
        <w:t>Date</w:t>
      </w:r>
      <w:r w:rsidRPr="00B5400B">
        <w:rPr>
          <w:u w:val="single"/>
        </w:rPr>
        <w:tab/>
        <w:t>Body</w:t>
      </w:r>
      <w:r w:rsidRPr="00B5400B">
        <w:rPr>
          <w:u w:val="single"/>
        </w:rPr>
        <w:tab/>
        <w:t>Action Description with journal page number</w:t>
      </w:r>
      <w:r w:rsidRPr="00B5400B">
        <w:rPr>
          <w:u w:val="single"/>
        </w:rPr>
        <w:tab/>
      </w:r>
      <w:bookmarkStart w:id="0" w:name="_GoBack"/>
      <w:bookmarkEnd w:id="0"/>
    </w:p>
    <w:p w:rsidR="00F479B3" w:rsidRDefault="00F479B3" w:rsidP="00F479B3">
      <w:pPr>
        <w:widowControl w:val="0"/>
        <w:tabs>
          <w:tab w:val="right" w:pos="1008"/>
          <w:tab w:val="left" w:pos="1152"/>
          <w:tab w:val="left" w:pos="1872"/>
          <w:tab w:val="left" w:pos="9187"/>
        </w:tabs>
        <w:ind w:left="2088" w:hanging="2088"/>
        <w:jc w:val="left"/>
      </w:pPr>
      <w:r>
        <w:tab/>
        <w:t>3/12/2014</w:t>
      </w:r>
      <w:r>
        <w:tab/>
        <w:t>House</w:t>
      </w:r>
      <w:r>
        <w:tab/>
      </w:r>
      <w:r w:rsidRPr="00DE14CD">
        <w:t>Introduced and read first time (</w:t>
      </w:r>
      <w:hyperlink r:id="rId7" w:history="1">
        <w:r w:rsidRPr="00DE14CD">
          <w:rPr>
            <w:rStyle w:val="Hyperlink"/>
          </w:rPr>
          <w:t>House Journal</w:t>
        </w:r>
        <w:r w:rsidRPr="00DE14CD">
          <w:rPr>
            <w:rStyle w:val="Hyperlink"/>
          </w:rPr>
          <w:noBreakHyphen/>
          <w:t>page 11</w:t>
        </w:r>
      </w:hyperlink>
      <w:r w:rsidRPr="00DE14CD">
        <w:t>)</w:t>
      </w:r>
    </w:p>
    <w:p w:rsidR="00F479B3" w:rsidRDefault="00F479B3" w:rsidP="00F479B3">
      <w:pPr>
        <w:widowControl w:val="0"/>
        <w:tabs>
          <w:tab w:val="right" w:pos="1008"/>
          <w:tab w:val="left" w:pos="1152"/>
          <w:tab w:val="left" w:pos="1872"/>
          <w:tab w:val="left" w:pos="9187"/>
        </w:tabs>
        <w:ind w:left="2088" w:hanging="2088"/>
        <w:jc w:val="left"/>
      </w:pPr>
      <w:r>
        <w:tab/>
        <w:t>3/12/2014</w:t>
      </w:r>
      <w:r>
        <w:tab/>
        <w:t>House</w:t>
      </w:r>
      <w:r>
        <w:tab/>
      </w:r>
      <w:r w:rsidRPr="00DE14CD">
        <w:t>Ref</w:t>
      </w:r>
      <w:r>
        <w:t xml:space="preserve">erred to Committee on </w:t>
      </w:r>
      <w:r w:rsidRPr="00DE14CD">
        <w:rPr>
          <w:b/>
        </w:rPr>
        <w:t>Judiciary</w:t>
      </w:r>
      <w:r>
        <w:t xml:space="preserve"> </w:t>
      </w:r>
      <w:r w:rsidRPr="00DE14CD">
        <w:t>(</w:t>
      </w:r>
      <w:hyperlink r:id="rId8" w:history="1">
        <w:r w:rsidRPr="00DE14CD">
          <w:rPr>
            <w:rStyle w:val="Hyperlink"/>
          </w:rPr>
          <w:t>House Journal</w:t>
        </w:r>
        <w:r w:rsidRPr="00DE14CD">
          <w:rPr>
            <w:rStyle w:val="Hyperlink"/>
          </w:rPr>
          <w:noBreakHyphen/>
          <w:t>page 11</w:t>
        </w:r>
      </w:hyperlink>
      <w:r w:rsidRPr="00DE14CD">
        <w:t>)</w:t>
      </w:r>
    </w:p>
    <w:p w:rsidR="00F479B3" w:rsidRDefault="00F479B3" w:rsidP="00F479B3">
      <w:pPr>
        <w:widowControl w:val="0"/>
        <w:tabs>
          <w:tab w:val="right" w:pos="1008"/>
          <w:tab w:val="left" w:pos="1152"/>
          <w:tab w:val="left" w:pos="1872"/>
          <w:tab w:val="left" w:pos="9187"/>
        </w:tabs>
        <w:ind w:left="2088" w:hanging="2088"/>
        <w:jc w:val="left"/>
      </w:pPr>
    </w:p>
    <w:p w:rsidR="00B5400B" w:rsidRPr="00B5400B" w:rsidRDefault="00B5400B" w:rsidP="00B5400B">
      <w:pPr>
        <w:widowControl w:val="0"/>
        <w:tabs>
          <w:tab w:val="right" w:pos="1008"/>
          <w:tab w:val="left" w:pos="1152"/>
          <w:tab w:val="left" w:pos="1872"/>
          <w:tab w:val="left" w:pos="9187"/>
        </w:tabs>
        <w:ind w:left="2088" w:hanging="2088"/>
        <w:jc w:val="left"/>
      </w:pPr>
    </w:p>
    <w:p w:rsidR="00B5400B" w:rsidRDefault="00B5400B" w:rsidP="00B5400B">
      <w:pPr>
        <w:widowControl w:val="0"/>
        <w:jc w:val="left"/>
      </w:pPr>
      <w:r w:rsidRPr="00B5400B">
        <w:rPr>
          <w:b/>
        </w:rPr>
        <w:t>VERSIONS OF THIS BILL</w:t>
      </w:r>
    </w:p>
    <w:p w:rsidR="00B5400B" w:rsidRDefault="00B5400B" w:rsidP="00B5400B">
      <w:pPr>
        <w:widowControl w:val="0"/>
        <w:jc w:val="left"/>
      </w:pPr>
    </w:p>
    <w:p w:rsidR="00B5400B" w:rsidRDefault="00CC451F" w:rsidP="00B5400B">
      <w:pPr>
        <w:widowControl w:val="0"/>
        <w:jc w:val="left"/>
      </w:pPr>
      <w:hyperlink r:id="rId9" w:history="1">
        <w:r w:rsidR="00B5400B">
          <w:rPr>
            <w:rStyle w:val="Hyperlink"/>
          </w:rPr>
          <w:t>3/12/2014</w:t>
        </w:r>
      </w:hyperlink>
    </w:p>
    <w:p w:rsidR="00B5400B" w:rsidRDefault="00B5400B" w:rsidP="00B5400B"/>
    <w:p w:rsidR="00B5400B" w:rsidRDefault="00B5400B" w:rsidP="00B5400B">
      <w:pPr>
        <w:sectPr w:rsidR="00B5400B" w:rsidSect="00B5400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5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sidR="00EF3277">
        <w:rPr>
          <w:color w:val="000000" w:themeColor="text1"/>
        </w:rPr>
        <w:noBreakHyphen/>
      </w:r>
      <w:r>
        <w:rPr>
          <w:color w:val="000000" w:themeColor="text1"/>
        </w:rPr>
        <w:t>32</w:t>
      </w:r>
      <w:r w:rsidR="00EF3277">
        <w:rPr>
          <w:color w:val="000000" w:themeColor="text1"/>
        </w:rPr>
        <w:noBreakHyphen/>
      </w:r>
      <w:r>
        <w:rPr>
          <w:color w:val="000000" w:themeColor="text1"/>
        </w:rPr>
        <w:t>10, RELATING TO DEFINITIONS FOR PURPOSES OF THE COMPREHENSIVE HEALTH EDUCATION ACT, SO AS TO DEFINE THE TERM “TEEN DATING VIOLENCE”; AND TO AMEND SECTIONS 59</w:t>
      </w:r>
      <w:r w:rsidR="00EF3277">
        <w:rPr>
          <w:color w:val="000000" w:themeColor="text1"/>
        </w:rPr>
        <w:noBreakHyphen/>
      </w:r>
      <w:r>
        <w:rPr>
          <w:color w:val="000000" w:themeColor="text1"/>
        </w:rPr>
        <w:t>32</w:t>
      </w:r>
      <w:r w:rsidR="00EF3277">
        <w:rPr>
          <w:color w:val="000000" w:themeColor="text1"/>
        </w:rPr>
        <w:noBreakHyphen/>
      </w:r>
      <w:r>
        <w:rPr>
          <w:color w:val="000000" w:themeColor="text1"/>
        </w:rPr>
        <w:t>20, 59</w:t>
      </w:r>
      <w:r w:rsidR="00EF3277">
        <w:rPr>
          <w:color w:val="000000" w:themeColor="text1"/>
        </w:rPr>
        <w:noBreakHyphen/>
      </w:r>
      <w:r>
        <w:rPr>
          <w:color w:val="000000" w:themeColor="text1"/>
        </w:rPr>
        <w:t>32</w:t>
      </w:r>
      <w:r w:rsidR="00EF3277">
        <w:rPr>
          <w:color w:val="000000" w:themeColor="text1"/>
        </w:rPr>
        <w:noBreakHyphen/>
      </w:r>
      <w:r>
        <w:rPr>
          <w:color w:val="000000" w:themeColor="text1"/>
        </w:rPr>
        <w:t>30, AND 59</w:t>
      </w:r>
      <w:r w:rsidR="00EF3277">
        <w:rPr>
          <w:color w:val="000000" w:themeColor="text1"/>
        </w:rPr>
        <w:noBreakHyphen/>
      </w:r>
      <w:r>
        <w:rPr>
          <w:color w:val="000000" w:themeColor="text1"/>
        </w:rPr>
        <w:t>32</w:t>
      </w:r>
      <w:r w:rsidR="00EF3277">
        <w:rPr>
          <w:color w:val="000000" w:themeColor="text1"/>
        </w:rPr>
        <w:noBreakHyphen/>
      </w:r>
      <w:r>
        <w:rPr>
          <w:color w:val="000000" w:themeColor="text1"/>
        </w:rPr>
        <w:t>50, ALL RELATING TO THE REQUIREMENTS OF THE COMPREHENSIVE HEALTH EDUCATION ACT, ALL SO AS TO REQUIRE THE INCLUSION OF TEEN DATING VIOLENCE EDUCATION IN THE COMPREHENSIVE HEALTH EDUCATION CURRICULUM AND MAKE CONFORMING CHANGES.</w:t>
      </w:r>
    </w:p>
    <w:p w:rsidR="0077755D" w:rsidRDefault="0077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755D" w:rsidRDefault="0077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55D" w:rsidRDefault="0077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8D5574" w:rsidRPr="00E74B0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EF3277">
        <w:noBreakHyphen/>
      </w:r>
      <w:r>
        <w:t>25</w:t>
      </w:r>
      <w:r w:rsidR="00EF3277">
        <w:noBreakHyphen/>
      </w:r>
      <w:r>
        <w:t>510.</w:t>
      </w:r>
      <w:r>
        <w:tab/>
        <w:t xml:space="preserve">This act may be cited as the </w:t>
      </w:r>
      <w:r w:rsidRPr="008D5574">
        <w:t>‘</w:t>
      </w:r>
      <w:r>
        <w:t>Teen Dating Violence Prevention Act</w:t>
      </w:r>
      <w:r w:rsidRPr="008D5574">
        <w:t>’</w:t>
      </w:r>
      <w: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rsidR="00EF3277">
        <w:noBreakHyphen/>
      </w:r>
      <w:r w:rsidRPr="000502FE">
        <w:t>25</w:t>
      </w:r>
      <w:r w:rsidR="00EF3277">
        <w:noBreakHyphen/>
      </w:r>
      <w:r w:rsidRPr="000502FE">
        <w:t>520.</w:t>
      </w:r>
      <w:r w:rsidRPr="000502FE">
        <w:tab/>
        <w:t>(A)</w:t>
      </w:r>
      <w:r w:rsidRPr="000502FE">
        <w:tab/>
        <w:t>For purposes of this article, the term:</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8D5574">
        <w:t>‘</w:t>
      </w:r>
      <w:r w:rsidRPr="000502FE">
        <w:t>Teen dating violence</w:t>
      </w:r>
      <w:r w:rsidRPr="008D5574">
        <w:t>’</w:t>
      </w:r>
      <w:r w:rsidRPr="000502FE">
        <w:t xml:space="preserve"> means physical, sexual, psychological, or emotional violence between persons, whether heterosexual or same gender, eighteen years of age or younger within a dating relationship. </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8D5574">
        <w:t>‘</w:t>
      </w:r>
      <w:r w:rsidRPr="000502FE">
        <w:t>Violence</w:t>
      </w:r>
      <w:r w:rsidRPr="008D5574">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rsidR="00EF3277">
        <w:noBreakHyphen/>
      </w:r>
      <w:r w:rsidRPr="000502FE">
        <w:t>25</w:t>
      </w:r>
      <w:r w:rsidR="00EF3277">
        <w:noBreakHyphen/>
      </w:r>
      <w:r w:rsidRPr="000502FE">
        <w:t>20(B).  A violation of the provisions of this section is not considered a lesser</w:t>
      </w:r>
      <w:r w:rsidR="00EF3277">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8D5574" w:rsidRPr="000502FE"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rsidR="00EF3277">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10 of the 1976 Code is amended by adding an appropriately numbered item at the end to read:</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8D5574">
        <w:rPr>
          <w:color w:val="000000" w:themeColor="text1"/>
          <w:u w:color="000000" w:themeColor="text1"/>
        </w:rPr>
        <w:t>‘</w:t>
      </w:r>
      <w:r>
        <w:rPr>
          <w:color w:val="000000" w:themeColor="text1"/>
          <w:u w:color="000000" w:themeColor="text1"/>
        </w:rPr>
        <w:t>Teen dating violence</w:t>
      </w:r>
      <w:r w:rsidRPr="008D5574">
        <w:rPr>
          <w:color w:val="000000" w:themeColor="text1"/>
          <w:u w:color="000000" w:themeColor="text1"/>
        </w:rPr>
        <w:t>’</w:t>
      </w:r>
      <w:r>
        <w:rPr>
          <w:color w:val="000000" w:themeColor="text1"/>
          <w:u w:color="000000" w:themeColor="text1"/>
        </w:rPr>
        <w:t xml:space="preserve"> means as defined in Section 16</w:t>
      </w:r>
      <w:r w:rsidR="00EF3277">
        <w:rPr>
          <w:color w:val="000000" w:themeColor="text1"/>
          <w:u w:color="000000" w:themeColor="text1"/>
        </w:rPr>
        <w:noBreakHyphen/>
      </w:r>
      <w:r>
        <w:rPr>
          <w:color w:val="000000" w:themeColor="text1"/>
          <w:u w:color="000000" w:themeColor="text1"/>
        </w:rPr>
        <w:t>25</w:t>
      </w:r>
      <w:r w:rsidR="00EF3277">
        <w:rPr>
          <w:color w:val="000000" w:themeColor="text1"/>
          <w:u w:color="000000" w:themeColor="text1"/>
        </w:rPr>
        <w:noBreakHyphen/>
      </w:r>
      <w:r>
        <w:rPr>
          <w:color w:val="000000" w:themeColor="text1"/>
          <w:u w:color="000000" w:themeColor="text1"/>
        </w:rPr>
        <w:t>520.”</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20 of the 1976 Code is amended to read:</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 xml:space="preserve">30 of the 1976 Code is amended to read: </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30.</w:t>
      </w:r>
      <w:r w:rsidRPr="008C0FF7">
        <w:rPr>
          <w:color w:val="000000"/>
        </w:rPr>
        <w:tab/>
        <w:t>(A)</w:t>
      </w:r>
      <w:r>
        <w:rPr>
          <w:color w:val="000000"/>
        </w:rPr>
        <w:tab/>
      </w:r>
      <w:r w:rsidRPr="008C0FF7">
        <w:rPr>
          <w:color w:val="000000"/>
        </w:rPr>
        <w:t>Pursuant to guidelines developed by the board, each local school board shall implement the following program of instruction:</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sidR="00EF3277">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EF3277">
        <w:rPr>
          <w:color w:val="000000"/>
        </w:rPr>
        <w:noBreakHyphen/>
      </w:r>
      <w:r w:rsidRPr="008C0FF7">
        <w:rPr>
          <w:color w:val="000000"/>
        </w:rPr>
        <w:t>appropriate instruction in reproductive health may be included.</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sidR="00EF3277">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six through eight, instruction in comprehensive health must include 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sidR="00EF3277">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Pr>
          <w:color w:val="000000"/>
        </w:rPr>
        <w:t xml:space="preserve"> </w:t>
      </w:r>
      <w:r>
        <w:rPr>
          <w:color w:val="000000"/>
          <w:u w:val="single"/>
        </w:rPr>
        <w:t>or teen dating violence</w:t>
      </w:r>
      <w:r w:rsidRPr="008C0FF7">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sidR="00EF3277">
        <w:rPr>
          <w:color w:val="000000"/>
        </w:rPr>
        <w:noBreakHyphen/>
      </w:r>
      <w:r w:rsidRPr="008C0FF7">
        <w:rPr>
          <w:color w:val="000000"/>
        </w:rPr>
        <w:t>32</w:t>
      </w:r>
      <w:r w:rsidR="00EF3277">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sidR="00EF3277">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C0FF7">
        <w:rPr>
          <w:color w:val="000000"/>
        </w:rPr>
        <w:t>The time required for health instruction for students in kindergarten through eighth grade must not be reduced below the level required during the 1986</w:t>
      </w:r>
      <w:r w:rsidR="00EF3277">
        <w:rPr>
          <w:color w:val="000000"/>
        </w:rPr>
        <w:noBreakHyphen/>
      </w:r>
      <w:r w:rsidRPr="008C0FF7">
        <w:rPr>
          <w:color w:val="000000"/>
        </w:rPr>
        <w:t>87 school year.  Health instruction for students in grades nine through twelve may be given either as part of an existing course or as a special course.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(D)</w:t>
      </w:r>
      <w:r>
        <w:rPr>
          <w:color w:val="000000"/>
        </w:rPr>
        <w:tab/>
      </w:r>
      <w:r w:rsidRPr="008C0FF7">
        <w:rPr>
          <w:color w:val="000000"/>
        </w:rPr>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8D5574">
        <w:rPr>
          <w:color w:val="000000"/>
        </w:rPr>
        <w:t>’</w:t>
      </w:r>
      <w:r w:rsidRPr="008C0FF7">
        <w:rPr>
          <w:color w:val="000000"/>
        </w:rPr>
        <w:t>s parents or legal guardians or the appropriate court, if applicable.</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(E)</w:t>
      </w:r>
      <w:r>
        <w:rPr>
          <w:color w:val="000000"/>
        </w:rPr>
        <w:tab/>
      </w:r>
      <w:r w:rsidRPr="008C0FF7">
        <w:rPr>
          <w:color w:val="000000"/>
        </w:rPr>
        <w:t>Any course or instruction in sexually transmitted diseases must be taught within the reproductive health, family life, or pregnancy prevention education components, or it must be presented as a separate component.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t>(F)</w:t>
      </w:r>
      <w:r>
        <w:rPr>
          <w:color w:val="000000"/>
        </w:rPr>
        <w:tab/>
      </w:r>
      <w:r w:rsidRPr="008C0FF7">
        <w:rPr>
          <w:color w:val="000000"/>
        </w:rPr>
        <w:t>Instruction in pregnancy prevention education must be presented separately to male and female students.</w:t>
      </w:r>
      <w:r>
        <w:rPr>
          <w:color w:val="000000"/>
        </w:rPr>
        <w:t>”</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 xml:space="preserve">50 of the 1976 Code is amended to read: </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sidR="00EF3277">
        <w:rPr>
          <w:color w:val="000000" w:themeColor="text1"/>
          <w:u w:color="000000" w:themeColor="text1"/>
        </w:rPr>
        <w:noBreakHyphen/>
      </w:r>
      <w:r>
        <w:rPr>
          <w:color w:val="000000" w:themeColor="text1"/>
          <w:u w:color="000000" w:themeColor="text1"/>
        </w:rPr>
        <w:t>32</w:t>
      </w:r>
      <w:r w:rsidR="00EF3277">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8D5574">
        <w:rPr>
          <w:color w:val="000000"/>
        </w:rPr>
        <w:t>’</w:t>
      </w:r>
      <w:r w:rsidRPr="008C0FF7">
        <w:rPr>
          <w:color w:val="000000"/>
        </w:rPr>
        <w:t>s enrollment in courses using these instructional materials to allow parents and legal guardians the opportunity to preview the materials and exempt their children.</w:t>
      </w:r>
    </w:p>
    <w:p w:rsidR="008D5574"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8D5574">
        <w:rPr>
          <w:color w:val="000000"/>
        </w:rPr>
        <w:t>’</w:t>
      </w:r>
      <w:r w:rsidRPr="008C0FF7">
        <w:rPr>
          <w:color w:val="000000"/>
        </w:rPr>
        <w:t>s parent or legal guardian stating that participation by the student in the health education program conflicts with the family</w:t>
      </w:r>
      <w:r w:rsidRPr="008D5574">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8D5574" w:rsidRPr="003160FB"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5574" w:rsidP="008D5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E5CD8" w:rsidRDefault="00EF3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CD8" w:rsidRDefault="00EE5CD8" w:rsidP="00B5400B">
      <w:pPr>
        <w:suppressAutoHyphens/>
      </w:pPr>
    </w:p>
    <w:sectPr w:rsidR="00EE5CD8" w:rsidSect="00B540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55D" w:rsidRDefault="0077755D" w:rsidP="009F0C77">
      <w:r>
        <w:separator/>
      </w:r>
    </w:p>
  </w:endnote>
  <w:endnote w:type="continuationSeparator" w:id="0">
    <w:p w:rsidR="0077755D" w:rsidRDefault="007775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733FF5-7DE6-4C1D-B57E-6FC4512B1C8A}"/>
    <w:embedBold r:id="rId2" w:fontKey="{002C9781-9AF5-4D91-83C5-23E96335268E}"/>
  </w:font>
  <w:font w:name="Calibri">
    <w:panose1 w:val="020F0502020204030204"/>
    <w:charset w:val="00"/>
    <w:family w:val="swiss"/>
    <w:pitch w:val="variable"/>
    <w:sig w:usb0="E10002FF" w:usb1="4000ACFF" w:usb2="00000009" w:usb3="00000000" w:csb0="0000019F" w:csb1="00000000"/>
    <w:embedRegular r:id="rId3" w:fontKey="{7BF43745-375C-42EC-AE9B-C33DC7051DAC}"/>
  </w:font>
  <w:font w:name="Tahoma">
    <w:panose1 w:val="020B0604030504040204"/>
    <w:charset w:val="00"/>
    <w:family w:val="swiss"/>
    <w:pitch w:val="variable"/>
    <w:sig w:usb0="21002A87" w:usb1="80000000" w:usb2="00000008" w:usb3="00000000" w:csb0="000101FF" w:csb1="00000000"/>
    <w:embedRegular r:id="rId4" w:fontKey="{5AF3134A-46D3-4774-9901-2BAD390703CF}"/>
  </w:font>
  <w:font w:name="Cambria">
    <w:panose1 w:val="02040503050406030204"/>
    <w:charset w:val="00"/>
    <w:family w:val="roman"/>
    <w:pitch w:val="variable"/>
    <w:sig w:usb0="E00002FF" w:usb1="400004FF" w:usb2="00000000" w:usb3="00000000" w:csb0="0000019F" w:csb1="00000000"/>
    <w:embedRegular r:id="rId5" w:fontKey="{D5556D51-9481-4716-9680-0E8A84CBB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00B" w:rsidRPr="00EE5CD8" w:rsidRDefault="00B5400B" w:rsidP="00EE5CD8">
    <w:pPr>
      <w:pStyle w:val="Footer"/>
      <w:tabs>
        <w:tab w:val="clear" w:pos="4680"/>
        <w:tab w:val="clear" w:pos="9360"/>
        <w:tab w:val="center" w:pos="2995"/>
      </w:tabs>
      <w:spacing w:before="120"/>
    </w:pPr>
    <w:r>
      <w:t>[4913]</w:t>
    </w:r>
    <w:r>
      <w:tab/>
    </w:r>
    <w:r w:rsidR="00144DBB">
      <w:fldChar w:fldCharType="begin"/>
    </w:r>
    <w:r w:rsidR="00144DBB">
      <w:instrText xml:space="preserve"> PAGE  \* MERGEFORMAT </w:instrText>
    </w:r>
    <w:r w:rsidR="00144DBB">
      <w:fldChar w:fldCharType="separate"/>
    </w:r>
    <w:r w:rsidR="00CC451F">
      <w:rPr>
        <w:noProof/>
      </w:rPr>
      <w:t>1</w:t>
    </w:r>
    <w:r w:rsidR="00144D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55D" w:rsidRDefault="0077755D" w:rsidP="009F0C77">
      <w:r>
        <w:separator/>
      </w:r>
    </w:p>
  </w:footnote>
  <w:footnote w:type="continuationSeparator" w:id="0">
    <w:p w:rsidR="0077755D" w:rsidRDefault="007775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25AHB14"/>
    <w:docVar w:name="CoverBillType" w:val="b"/>
    <w:docVar w:name="docpath" w:val="L:\Council\bills\NBD\11325AHB14.DOCX"/>
    <w:docVar w:name="dvBillNumber" w:val="4913"/>
    <w:docVar w:name="dvBillNumberPrefix" w:val="H. "/>
    <w:docVar w:name="dvOriginalBody" w:val="House"/>
    <w:docVar w:name="dvSteno" w:val="NBD"/>
    <w:docVar w:name="NameofBody" w:val="h"/>
    <w:docVar w:name="vgroup2" w:val="Council"/>
  </w:docVars>
  <w:rsids>
    <w:rsidRoot w:val="00AC0978"/>
    <w:rsid w:val="00011869"/>
    <w:rsid w:val="000E1785"/>
    <w:rsid w:val="000F40FA"/>
    <w:rsid w:val="0010776B"/>
    <w:rsid w:val="00133E66"/>
    <w:rsid w:val="001435A3"/>
    <w:rsid w:val="00144DBB"/>
    <w:rsid w:val="001D08F2"/>
    <w:rsid w:val="001D525B"/>
    <w:rsid w:val="001D7F4F"/>
    <w:rsid w:val="002321B6"/>
    <w:rsid w:val="00250967"/>
    <w:rsid w:val="002521CC"/>
    <w:rsid w:val="002543C8"/>
    <w:rsid w:val="00284AAE"/>
    <w:rsid w:val="002E5912"/>
    <w:rsid w:val="00301B21"/>
    <w:rsid w:val="00325348"/>
    <w:rsid w:val="0032732C"/>
    <w:rsid w:val="00336AD0"/>
    <w:rsid w:val="003454AE"/>
    <w:rsid w:val="0037079A"/>
    <w:rsid w:val="003D01E8"/>
    <w:rsid w:val="003E5288"/>
    <w:rsid w:val="003F6D79"/>
    <w:rsid w:val="0041760A"/>
    <w:rsid w:val="00417C01"/>
    <w:rsid w:val="004505F5"/>
    <w:rsid w:val="004809EE"/>
    <w:rsid w:val="004E7D54"/>
    <w:rsid w:val="005273C6"/>
    <w:rsid w:val="00530A69"/>
    <w:rsid w:val="00545593"/>
    <w:rsid w:val="00577C6C"/>
    <w:rsid w:val="005C2FE2"/>
    <w:rsid w:val="005E2BC9"/>
    <w:rsid w:val="00605102"/>
    <w:rsid w:val="006215AA"/>
    <w:rsid w:val="0063377B"/>
    <w:rsid w:val="006913C9"/>
    <w:rsid w:val="0069470D"/>
    <w:rsid w:val="00734F00"/>
    <w:rsid w:val="0077755D"/>
    <w:rsid w:val="007A70AE"/>
    <w:rsid w:val="008362E8"/>
    <w:rsid w:val="00842481"/>
    <w:rsid w:val="008A1768"/>
    <w:rsid w:val="008D5574"/>
    <w:rsid w:val="008F0F33"/>
    <w:rsid w:val="008F4429"/>
    <w:rsid w:val="00920707"/>
    <w:rsid w:val="0094021A"/>
    <w:rsid w:val="009B44AF"/>
    <w:rsid w:val="009C6A0B"/>
    <w:rsid w:val="009D0CFF"/>
    <w:rsid w:val="009F0C77"/>
    <w:rsid w:val="009F4DD1"/>
    <w:rsid w:val="00A41684"/>
    <w:rsid w:val="00A64E80"/>
    <w:rsid w:val="00A72BCD"/>
    <w:rsid w:val="00A741D9"/>
    <w:rsid w:val="00A833AB"/>
    <w:rsid w:val="00A963BE"/>
    <w:rsid w:val="00A9741D"/>
    <w:rsid w:val="00AC0978"/>
    <w:rsid w:val="00AD4B17"/>
    <w:rsid w:val="00B412D4"/>
    <w:rsid w:val="00B5400B"/>
    <w:rsid w:val="00BE3C22"/>
    <w:rsid w:val="00C0345E"/>
    <w:rsid w:val="00C3483A"/>
    <w:rsid w:val="00C74E9D"/>
    <w:rsid w:val="00C82FD3"/>
    <w:rsid w:val="00C92819"/>
    <w:rsid w:val="00CC451F"/>
    <w:rsid w:val="00CC6B7B"/>
    <w:rsid w:val="00CD2089"/>
    <w:rsid w:val="00D73A67"/>
    <w:rsid w:val="00D801F7"/>
    <w:rsid w:val="00D970A9"/>
    <w:rsid w:val="00DF3845"/>
    <w:rsid w:val="00E2395E"/>
    <w:rsid w:val="00E41911"/>
    <w:rsid w:val="00E92EEF"/>
    <w:rsid w:val="00EE5CD8"/>
    <w:rsid w:val="00EF3277"/>
    <w:rsid w:val="00F24442"/>
    <w:rsid w:val="00F479B3"/>
    <w:rsid w:val="00F50AE3"/>
    <w:rsid w:val="00F67CF1"/>
    <w:rsid w:val="00F67DD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59DFA0-E90D-49B0-A56A-811CCB866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277"/>
    <w:rPr>
      <w:rFonts w:ascii="Tahoma" w:hAnsi="Tahoma" w:cs="Tahoma"/>
      <w:sz w:val="16"/>
      <w:szCs w:val="16"/>
    </w:rPr>
  </w:style>
  <w:style w:type="character" w:customStyle="1" w:styleId="BalloonTextChar">
    <w:name w:val="Balloon Text Char"/>
    <w:basedOn w:val="DefaultParagraphFont"/>
    <w:link w:val="BalloonText"/>
    <w:uiPriority w:val="99"/>
    <w:semiHidden/>
    <w:rsid w:val="00EF3277"/>
    <w:rPr>
      <w:rFonts w:ascii="Tahoma" w:eastAsia="Times New Roman" w:hAnsi="Tahoma" w:cs="Tahoma"/>
      <w:sz w:val="16"/>
      <w:szCs w:val="16"/>
    </w:rPr>
  </w:style>
  <w:style w:type="character" w:styleId="Hyperlink">
    <w:name w:val="Hyperlink"/>
    <w:basedOn w:val="DefaultParagraphFont"/>
    <w:uiPriority w:val="99"/>
    <w:unhideWhenUsed/>
    <w:rsid w:val="00B540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13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696EC-0023-46F3-8EB3-3E6A4DAE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1865</Words>
  <Characters>10637</Characters>
  <Application>Microsoft Office Word</Application>
  <DocSecurity>0</DocSecurity>
  <Lines>88</Lines>
  <Paragraphs>24</Paragraphs>
  <ScaleCrop>false</ScaleCrop>
  <Company>LPITS</Company>
  <LinksUpToDate>false</LinksUpToDate>
  <CharactersWithSpaces>12478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4913: Teen Dating Violence Prevention Act - South Carolina Legislature Online</dc:title>
  <dc:creator>%USERNAME%</dc:creator>
  <cp:lastModifiedBy>N Cumfer</cp:lastModifiedBy>
  <cp:revision>8</cp:revision>
  <cp:lastPrinted>2014-03-11T19:43:00Z</cp:lastPrinted>
  <dcterms:created xsi:type="dcterms:W3CDTF">2014-03-12T14:46:00Z</dcterms:created>
  <dcterms:modified xsi:type="dcterms:W3CDTF">2014-12-05T17:05:00Z</dcterms:modified>
</cp:coreProperties>
</file>