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4E" w:rsidRDefault="00D6034E" w:rsidP="00BB0D7A">
      <w:pPr>
        <w:pStyle w:val="BillDots0"/>
      </w:pPr>
      <w:r>
        <w:t>COMMITTEE AMENDMENT AMENDED AND ADOPTED</w:t>
      </w:r>
    </w:p>
    <w:p w:rsidR="00D6034E" w:rsidRDefault="00D6034E" w:rsidP="00BB0D7A">
      <w:pPr>
        <w:pStyle w:val="BillDots0"/>
      </w:pPr>
      <w:r>
        <w:t>March 6, 2013</w:t>
      </w:r>
    </w:p>
    <w:p w:rsidR="00D6034E" w:rsidRDefault="00D6034E" w:rsidP="00BB0D7A">
      <w:pPr>
        <w:pStyle w:val="BillDots0"/>
      </w:pPr>
    </w:p>
    <w:p w:rsidR="00826899" w:rsidRPr="00826899" w:rsidRDefault="00826899" w:rsidP="00826899">
      <w:pPr>
        <w:pStyle w:val="BillDots0"/>
        <w:tabs>
          <w:tab w:val="clear" w:pos="216"/>
          <w:tab w:val="clear" w:pos="432"/>
          <w:tab w:val="clear" w:pos="648"/>
          <w:tab w:val="clear" w:pos="864"/>
          <w:tab w:val="clear" w:pos="1080"/>
          <w:tab w:val="clear" w:pos="1296"/>
          <w:tab w:val="clear" w:pos="5904"/>
          <w:tab w:val="right" w:pos="5933"/>
        </w:tabs>
      </w:pPr>
      <w:r>
        <w:tab/>
      </w:r>
      <w:r>
        <w:rPr>
          <w:b/>
          <w:sz w:val="36"/>
        </w:rPr>
        <w:t>S. 234</w:t>
      </w:r>
    </w:p>
    <w:p w:rsidR="00826899" w:rsidRDefault="00826899" w:rsidP="00BB0D7A">
      <w:pPr>
        <w:pStyle w:val="BillDots0"/>
      </w:pPr>
    </w:p>
    <w:p w:rsidR="00826899" w:rsidRDefault="00826899" w:rsidP="00826899">
      <w:pPr>
        <w:pStyle w:val="BillDots0"/>
        <w:jc w:val="center"/>
      </w:pPr>
      <w:r>
        <w:t xml:space="preserve">Introduced by </w:t>
      </w:r>
      <w:r w:rsidRPr="004C4A8E">
        <w:t>Senator</w:t>
      </w:r>
      <w:r w:rsidR="00D6034E">
        <w:t>s</w:t>
      </w:r>
      <w:r w:rsidRPr="004C4A8E">
        <w:t xml:space="preserve"> Coleman</w:t>
      </w:r>
      <w:r w:rsidR="00D6034E">
        <w:t>, Johnson and McElveen</w:t>
      </w:r>
    </w:p>
    <w:p w:rsidR="00826899" w:rsidRDefault="00826899" w:rsidP="00BB0D7A">
      <w:pPr>
        <w:pStyle w:val="BillDots0"/>
      </w:pPr>
    </w:p>
    <w:p w:rsidR="00826899" w:rsidRDefault="00826899" w:rsidP="00BB0D7A">
      <w:pPr>
        <w:pStyle w:val="BillDots0"/>
      </w:pPr>
      <w:r>
        <w:t xml:space="preserve">S. Printed </w:t>
      </w:r>
      <w:r w:rsidR="003C08AE">
        <w:t>3/6</w:t>
      </w:r>
      <w:r>
        <w:t>/13--S.</w:t>
      </w:r>
    </w:p>
    <w:p w:rsidR="00826899" w:rsidRDefault="00826899" w:rsidP="00BB0D7A">
      <w:pPr>
        <w:pStyle w:val="BillDots0"/>
      </w:pPr>
      <w:r>
        <w:t>Read the first time January 15, 2013.</w:t>
      </w:r>
    </w:p>
    <w:p w:rsidR="00826899" w:rsidRPr="00826899" w:rsidRDefault="00826899" w:rsidP="00826899">
      <w:pPr>
        <w:pStyle w:val="BillDots0"/>
        <w:jc w:val="center"/>
      </w:pPr>
      <w:r>
        <w:rPr>
          <w:u w:val="single"/>
        </w:rPr>
        <w:t>            </w:t>
      </w:r>
    </w:p>
    <w:p w:rsidR="00826899" w:rsidRDefault="00826899" w:rsidP="00BB0D7A">
      <w:pPr>
        <w:pStyle w:val="BillDots0"/>
      </w:pPr>
    </w:p>
    <w:p w:rsidR="00826899" w:rsidRDefault="00826899" w:rsidP="00BB0D7A">
      <w:pPr>
        <w:pStyle w:val="BillDots0"/>
        <w:sectPr w:rsidR="00826899" w:rsidSect="008268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0D7A" w:rsidRDefault="00BB0D7A" w:rsidP="00BB0D7A">
      <w:pPr>
        <w:pStyle w:val="BillDots0"/>
      </w:pPr>
    </w:p>
    <w:p w:rsidR="00BB0D7A" w:rsidRDefault="00BB0D7A" w:rsidP="00BB0D7A">
      <w:pPr>
        <w:pStyle w:val="Numbersforbill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3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3C08AE" w:rsidRDefault="003C0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1.</w:t>
      </w:r>
      <w:r>
        <w:rPr>
          <w:color w:val="000000" w:themeColor="text1"/>
          <w:u w:color="000000" w:themeColor="text1"/>
        </w:rPr>
        <w:t>A.</w:t>
      </w:r>
      <w:r w:rsidRPr="00F33A1D">
        <w:rPr>
          <w:color w:val="000000" w:themeColor="text1"/>
          <w:u w:color="000000" w:themeColor="text1"/>
        </w:rPr>
        <w:tab/>
        <w:t>Title 12 of the 1976 Code is amended by adding:</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“CHAPTER 67</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South Carolina Abandoned Buildings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Revitalization Act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100. </w:t>
      </w:r>
      <w:r w:rsidRPr="00F33A1D">
        <w:rPr>
          <w:color w:val="000000" w:themeColor="text1"/>
          <w:u w:color="000000" w:themeColor="text1"/>
        </w:rPr>
        <w:tab/>
        <w:t xml:space="preserve">This chapter may be cited as the ‘South Carolina Abandoned Buildings Revitalization Act’.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110. </w:t>
      </w:r>
      <w:r w:rsidRPr="00F33A1D">
        <w:rPr>
          <w:color w:val="000000" w:themeColor="text1"/>
          <w:u w:color="000000" w:themeColor="text1"/>
        </w:rPr>
        <w:tab/>
        <w:t>(A)</w:t>
      </w:r>
      <w:r w:rsidRPr="00F33A1D">
        <w:rPr>
          <w:color w:val="000000" w:themeColor="text1"/>
          <w:u w:color="000000" w:themeColor="text1"/>
        </w:rPr>
        <w:tab/>
        <w:t xml:space="preserve">The purpose of this chapter is to create an incentive for the rehabilitation, renovation, and redevelopment of abandoned buildings located in South Carolina.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F33A1D">
        <w:rPr>
          <w:color w:val="000000" w:themeColor="text1"/>
          <w:u w:color="000000" w:themeColor="text1"/>
        </w:rPr>
        <w:lastRenderedPageBreak/>
        <w:t>these buildings to productive assets for the communities in which they are located and result in increased job opportunities.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F33A1D">
        <w:rPr>
          <w:color w:val="000000" w:themeColor="text1"/>
          <w:u w:val="single" w:color="000000" w:themeColor="text1"/>
        </w:rPr>
        <w:t xml:space="preserv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120. </w:t>
      </w:r>
      <w:r w:rsidRPr="00F33A1D">
        <w:rPr>
          <w:color w:val="000000" w:themeColor="text1"/>
          <w:u w:color="000000" w:themeColor="text1"/>
        </w:rPr>
        <w:tab/>
        <w:t xml:space="preserve">For the purposes of this chapter, unless the context requires otherwise: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(1)</w:t>
      </w:r>
      <w:r w:rsidRPr="00F33A1D">
        <w:rPr>
          <w:color w:val="000000" w:themeColor="text1"/>
          <w:u w:color="000000" w:themeColor="text1"/>
        </w:rPr>
        <w:tab/>
        <w:t>‘Abandoned building’ means a building or structure, which clearly may be delineated from other buildings or structures, at least sixty</w:t>
      </w:r>
      <w:r w:rsidRPr="00F33A1D">
        <w:rPr>
          <w:color w:val="000000" w:themeColor="text1"/>
          <w:u w:color="000000" w:themeColor="text1"/>
        </w:rPr>
        <w:noBreakHyphen/>
        <w:t>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a single</w:t>
      </w:r>
      <w:r w:rsidRPr="00F33A1D">
        <w:rPr>
          <w:color w:val="000000" w:themeColor="text1"/>
          <w:u w:color="000000" w:themeColor="text1"/>
        </w:rPr>
        <w:noBreakHyphen/>
        <w:t>family residence.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(2)</w:t>
      </w:r>
      <w:r w:rsidRPr="00F33A1D">
        <w:rPr>
          <w:color w:val="000000" w:themeColor="text1"/>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w:t>
      </w:r>
      <w:r w:rsidRPr="00F33A1D">
        <w:rPr>
          <w:color w:val="000000" w:themeColor="text1"/>
          <w:u w:color="000000" w:themeColor="text1"/>
        </w:rPr>
        <w:lastRenderedPageBreak/>
        <w:t xml:space="preserve">parking and other similar purposes directly related to the building’s income producing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(3)</w:t>
      </w:r>
      <w:r w:rsidRPr="00F33A1D">
        <w:rPr>
          <w:color w:val="000000" w:themeColor="text1"/>
          <w:u w:color="000000" w:themeColor="text1"/>
        </w:rPr>
        <w:tab/>
        <w:t xml:space="preserve">‘Local taxing entities’ means a county, municipality, school district, special purpose district, and other entity or district with the power to levy ad valorem property taxes against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(4)</w:t>
      </w:r>
      <w:r w:rsidRPr="00F33A1D">
        <w:rPr>
          <w:color w:val="000000" w:themeColor="text1"/>
          <w:u w:color="000000" w:themeColor="text1"/>
        </w:rPr>
        <w:tab/>
        <w:t xml:space="preserve">‘Local taxing entity ratio’ means that percentage computed by dividing the millage rate of each local taxing entity by the total millage rate for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(5)</w:t>
      </w:r>
      <w:r w:rsidRPr="00F33A1D">
        <w:rPr>
          <w:color w:val="000000" w:themeColor="text1"/>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(6)</w:t>
      </w:r>
      <w:r w:rsidRPr="00F33A1D">
        <w:rPr>
          <w:color w:val="000000" w:themeColor="text1"/>
          <w:u w:color="000000" w:themeColor="text1"/>
        </w:rPr>
        <w:tab/>
        <w:t>‘Rehabilitation expenses’ means the expenses or capital expenditures incurred in the rehabilitation, demolition,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two hundred percent of the amount of square footage of the buildings that existed on the building site as of the filing of the notice of intent to rehabilitate shall not be considered a rehabilitation expense for purposes of calculating the amount of the credit. Notwithstanding any other provision of this section, demolition expenses shall not be considered a rehabilitation expense for purposes of calculating the amount of the credit if the building being demolished is on the National Register for Historic Places.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(7)</w:t>
      </w:r>
      <w:r w:rsidRPr="00F33A1D">
        <w:rPr>
          <w:color w:val="000000" w:themeColor="text1"/>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w:t>
      </w:r>
      <w:r w:rsidRPr="00F33A1D">
        <w:rPr>
          <w:color w:val="000000" w:themeColor="text1"/>
          <w:u w:color="000000" w:themeColor="text1"/>
        </w:rPr>
        <w:lastRenderedPageBreak/>
        <w:t xml:space="preserve">information as to which buildings the taxpayer intends to renovate and whether new construction is to be involved.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130.</w:t>
      </w:r>
      <w:r w:rsidRPr="00F33A1D">
        <w:rPr>
          <w:color w:val="000000" w:themeColor="text1"/>
          <w:u w:color="000000" w:themeColor="text1"/>
        </w:rPr>
        <w:tab/>
        <w:t>(A)</w:t>
      </w:r>
      <w:r w:rsidRPr="00F33A1D">
        <w:rPr>
          <w:color w:val="000000" w:themeColor="text1"/>
          <w:u w:color="000000" w:themeColor="text1"/>
        </w:rPr>
        <w:tab/>
        <w:t>This chapter only applies to abandoned building sites or phases or portions thereof put into operation in which a taxpayer incurs the following rehabilitation expenses: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more than two hundred fifty thousand dollars for buildings located in the unincorporated areas of a county or in a municipality in the county with a population based on the most recent official United States census of more than twenty</w:t>
      </w:r>
      <w:r w:rsidRPr="00F33A1D">
        <w:rPr>
          <w:color w:val="000000" w:themeColor="text1"/>
          <w:u w:color="000000" w:themeColor="text1"/>
        </w:rPr>
        <w:noBreakHyphen/>
        <w:t>five thousand persons;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more than one hundred fifty thousand dollars for buildings located in the unincorporated areas of a county or in a municipality in the county with a population of at least one thousand persons, but not more than twenty</w:t>
      </w:r>
      <w:r w:rsidRPr="00F33A1D">
        <w:rPr>
          <w:color w:val="000000" w:themeColor="text1"/>
          <w:u w:color="000000" w:themeColor="text1"/>
        </w:rPr>
        <w:noBreakHyphen/>
        <w:t>five thousand persons based on the most recent official United States census; and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w:t>
      </w:r>
      <w:r w:rsidRPr="00F33A1D">
        <w:rPr>
          <w:color w:val="000000" w:themeColor="text1"/>
          <w:u w:color="000000" w:themeColor="text1"/>
        </w:rPr>
        <w:tab/>
        <w:t>more than seventy</w:t>
      </w:r>
      <w:r w:rsidRPr="00F33A1D">
        <w:rPr>
          <w:color w:val="000000" w:themeColor="text1"/>
          <w:u w:color="000000" w:themeColor="text1"/>
        </w:rPr>
        <w:noBreakHyphen/>
        <w:t xml:space="preserve">five thousand dollars for buildings located in a municipality with a population of less than one thousand persons based on the most recent official United States census.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Also, this chapter only applies to abandoned building sites or phases or portions thereof put into operation for income producing purposes and that meet the purpose of this chapter set forth in Section 12</w:t>
      </w:r>
      <w:r w:rsidRPr="00F33A1D">
        <w:rPr>
          <w:color w:val="000000" w:themeColor="text1"/>
          <w:u w:color="000000" w:themeColor="text1"/>
        </w:rPr>
        <w:noBreakHyphen/>
        <w:t>67</w:t>
      </w:r>
      <w:r w:rsidRPr="00F33A1D">
        <w:rPr>
          <w:color w:val="000000" w:themeColor="text1"/>
          <w:u w:color="000000" w:themeColor="text1"/>
        </w:rPr>
        <w:noBreakHyphen/>
        <w:t>110.  The construction of a single</w:t>
      </w:r>
      <w:r w:rsidRPr="00F33A1D">
        <w:rPr>
          <w:color w:val="000000" w:themeColor="text1"/>
          <w:u w:color="000000" w:themeColor="text1"/>
        </w:rPr>
        <w:noBreakHyphen/>
        <w:t>family residence is not an income producing purpose and does not meet the purpose of this chapter.</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140. </w:t>
      </w:r>
      <w:r w:rsidRPr="00F33A1D">
        <w:rPr>
          <w:color w:val="000000" w:themeColor="text1"/>
          <w:u w:color="000000" w:themeColor="text1"/>
        </w:rPr>
        <w:tab/>
        <w:t>(A)</w:t>
      </w:r>
      <w:r w:rsidRPr="00F33A1D">
        <w:rPr>
          <w:color w:val="000000" w:themeColor="text1"/>
          <w:u w:color="000000" w:themeColor="text1"/>
        </w:rPr>
        <w:tab/>
        <w:t xml:space="preserve">Subject to the terms and conditions of this chapter, a taxpayer who rehabilitates an abandoned building is eligible for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a credit against income taxes imposed pursuant to Chapter 6 and Chapter 11 of this title</w:t>
      </w:r>
      <w:r>
        <w:rPr>
          <w:color w:val="000000" w:themeColor="text1"/>
          <w:u w:color="000000" w:themeColor="text1"/>
        </w:rPr>
        <w:t>,</w:t>
      </w:r>
      <w:r w:rsidRPr="00F33A1D">
        <w:rPr>
          <w:color w:val="000000" w:themeColor="text1"/>
          <w:u w:color="000000" w:themeColor="text1"/>
        </w:rPr>
        <w:t xml:space="preserve"> corporate license fees pursuant to Chapter 20 of this title, </w:t>
      </w:r>
      <w:r>
        <w:rPr>
          <w:color w:val="000000" w:themeColor="text1"/>
          <w:u w:color="000000" w:themeColor="text1"/>
        </w:rPr>
        <w:t xml:space="preserve">or taxes on associations pursuant to Chapter 13 of this title, </w:t>
      </w:r>
      <w:r w:rsidRPr="00F33A1D">
        <w:rPr>
          <w:color w:val="000000" w:themeColor="text1"/>
          <w:u w:color="000000" w:themeColor="text1"/>
        </w:rPr>
        <w:t xml:space="preserve">or </w:t>
      </w:r>
      <w:r>
        <w:rPr>
          <w:color w:val="000000" w:themeColor="text1"/>
          <w:u w:color="000000" w:themeColor="text1"/>
        </w:rPr>
        <w:t>a combination thereof</w:t>
      </w:r>
      <w:r w:rsidRPr="00F33A1D">
        <w:rPr>
          <w:color w:val="000000" w:themeColor="text1"/>
          <w:u w:color="000000" w:themeColor="text1"/>
        </w:rPr>
        <w:t xml:space="preserve">;  or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 xml:space="preserve">a credit against real property taxes levied by local taxing entities.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If the taxpayer elects to receive the credit pursuant to subsection (A)(1),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r>
      <w:r w:rsidRPr="00F33A1D">
        <w:rPr>
          <w:color w:val="000000" w:themeColor="text1"/>
          <w:u w:color="000000" w:themeColor="text1"/>
        </w:rPr>
        <w:tab/>
        <w:t>(2)</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Pr="00F33A1D">
        <w:rPr>
          <w:color w:val="000000" w:themeColor="text1"/>
          <w:u w:color="000000" w:themeColor="text1"/>
        </w:rPr>
        <w:noBreakHyphen/>
        <w:t>year period beginning with the tax year in which the applicable phase or portion of the building site is placed in service.  Unused credit may be carried forward for the succeeding five years.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entire credit earned pursuant to this item may not exceed </w:t>
      </w:r>
      <w:r>
        <w:rPr>
          <w:color w:val="000000" w:themeColor="text1"/>
          <w:u w:color="000000" w:themeColor="text1"/>
        </w:rPr>
        <w:t>five</w:t>
      </w:r>
      <w:r w:rsidRPr="00F33A1D">
        <w:rPr>
          <w:color w:val="000000" w:themeColor="text1"/>
          <w:u w:color="000000" w:themeColor="text1"/>
        </w:rPr>
        <w:t xml:space="preserve"> hundred thousand dollars for any taxpayer in a tax year for each abandoned building site.  The limitation provided in this subitem applies to each unit or parcel deemed to be an abandoned building site.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If the taxpayer qualifies for both the credit allowed by this section and the credit allowed pursuant to the Textiles Communities Revitalization Act or the Retail Facilities Revitalization Act, the taxpayer only may claim one of the t</w:t>
      </w:r>
      <w:r>
        <w:rPr>
          <w:color w:val="000000" w:themeColor="text1"/>
          <w:u w:color="000000" w:themeColor="text1"/>
        </w:rPr>
        <w:t>hree</w:t>
      </w:r>
      <w:r w:rsidRPr="00F33A1D">
        <w:rPr>
          <w:color w:val="000000" w:themeColor="text1"/>
          <w:u w:color="000000" w:themeColor="text1"/>
        </w:rPr>
        <w:t xml:space="preserve"> credits.  However, the taxpayer is not disqualified from claiming any other tax credit in conjunction with the credit allowed by this section.</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 xml:space="preserve">The credit allowed by this subsection is limited in use to fifty percent of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(a)</w:t>
      </w:r>
      <w:r w:rsidRPr="00F33A1D">
        <w:rPr>
          <w:color w:val="000000" w:themeColor="text1"/>
          <w:u w:color="000000" w:themeColor="text1"/>
        </w:rPr>
        <w:tab/>
        <w:t>the taxpayer’s income tax liability for the taxable year if taxpayer claims the credit allowed by this section as a credit against income tax imposed pursuant to Chapter 6 or Chapter 11 of this title</w:t>
      </w:r>
      <w:r>
        <w:rPr>
          <w:color w:val="000000" w:themeColor="text1"/>
          <w:u w:color="000000" w:themeColor="text1"/>
        </w:rPr>
        <w:t xml:space="preserve">, or taxes on associations pursuant to Chapter 13 of this title, </w:t>
      </w:r>
      <w:r w:rsidRPr="00F33A1D">
        <w:rPr>
          <w:color w:val="000000" w:themeColor="text1"/>
          <w:u w:color="000000" w:themeColor="text1"/>
        </w:rPr>
        <w:t xml:space="preserve">or </w:t>
      </w:r>
      <w:r>
        <w:rPr>
          <w:color w:val="000000" w:themeColor="text1"/>
          <w:u w:color="000000" w:themeColor="text1"/>
        </w:rPr>
        <w:t>both</w:t>
      </w:r>
      <w:r w:rsidRPr="00F33A1D">
        <w:rPr>
          <w:color w:val="000000" w:themeColor="text1"/>
          <w:u w:color="000000" w:themeColor="text1"/>
        </w:rPr>
        <w:t>; or</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taxpayer’s corporate license fees for the taxable year if the taxpayer claims the credit allowed by this section as a credit against license fees imposed pursuant to Chapter 20.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(6)(a)</w:t>
      </w:r>
      <w:r w:rsidRPr="00F33A1D">
        <w:rPr>
          <w:color w:val="000000" w:themeColor="text1"/>
          <w:u w:color="000000" w:themeColor="text1"/>
        </w:rPr>
        <w:tab/>
        <w:t xml:space="preserve">If the taxpayer leases the building site, or part of the building site, the taxpayer may transfer any applicable remaining </w:t>
      </w:r>
      <w:r w:rsidRPr="00F33A1D">
        <w:rPr>
          <w:color w:val="000000" w:themeColor="text1"/>
          <w:u w:color="000000" w:themeColor="text1"/>
        </w:rPr>
        <w:lastRenderedPageBreak/>
        <w:t xml:space="preserve">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To the extent that the taxpayer transfers the credit, the taxpayer shall notify the department of the transfer in the manner the department prescribes.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(7)</w:t>
      </w:r>
      <w:r w:rsidRPr="00F33A1D">
        <w:rPr>
          <w:color w:val="000000" w:themeColor="text1"/>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 xml:space="preserve">If the taxpayer elects to receive the credit pursuant to subsection (A)(2),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F33A1D">
        <w:rPr>
          <w:color w:val="000000" w:themeColor="text1"/>
          <w:u w:color="000000" w:themeColor="text1"/>
        </w:rPr>
        <w:noBreakHyphen/>
        <w:t>1</w:t>
      </w:r>
      <w:r w:rsidRPr="00F33A1D">
        <w:rPr>
          <w:color w:val="000000" w:themeColor="text1"/>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w:t>
      </w:r>
      <w:r w:rsidRPr="00F33A1D">
        <w:rPr>
          <w:color w:val="000000" w:themeColor="text1"/>
          <w:u w:color="000000" w:themeColor="text1"/>
        </w:rPr>
        <w:lastRenderedPageBreak/>
        <w:t xml:space="preserve">any of its tax increment financing transactions or an outstanding general obligation bond issued by the county or municipality.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F33A1D">
        <w:rPr>
          <w:color w:val="000000" w:themeColor="text1"/>
          <w:u w:color="000000" w:themeColor="text1"/>
        </w:rPr>
        <w:noBreakHyphen/>
        <w:t xml:space="preserve">five percent of the real property taxes due on the building site each year for up to eight years.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Not fewer than forty</w:t>
      </w:r>
      <w:r w:rsidRPr="00F33A1D">
        <w:rPr>
          <w:color w:val="000000" w:themeColor="text1"/>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(D)</w:t>
      </w:r>
      <w:r w:rsidRPr="00F33A1D">
        <w:rPr>
          <w:color w:val="000000" w:themeColor="text1"/>
          <w:u w:color="000000" w:themeColor="text1"/>
        </w:rPr>
        <w:tab/>
        <w:t>A taxpayer is not eligible for the credit if the taxpayer owned the otherwise eligible building site when the site was operational and immediately prior to its abandonment.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t>Section</w:t>
      </w:r>
      <w:r w:rsidRPr="00F33A1D">
        <w:rPr>
          <w:color w:val="000000" w:themeColor="text1"/>
          <w:u w:color="000000" w:themeColor="text1"/>
        </w:rPr>
        <w:tab/>
        <w:t>12</w:t>
      </w:r>
      <w:r w:rsidRPr="00F33A1D">
        <w:rPr>
          <w:color w:val="000000" w:themeColor="text1"/>
          <w:u w:color="000000" w:themeColor="text1"/>
        </w:rPr>
        <w:noBreakHyphen/>
        <w:t>67</w:t>
      </w:r>
      <w:r w:rsidRPr="00F33A1D">
        <w:rPr>
          <w:color w:val="000000" w:themeColor="text1"/>
          <w:u w:color="000000" w:themeColor="text1"/>
        </w:rPr>
        <w:noBreakHyphen/>
        <w:t xml:space="preserve">150. </w:t>
      </w:r>
      <w:r w:rsidRPr="00F33A1D">
        <w:rPr>
          <w:color w:val="000000" w:themeColor="text1"/>
          <w:u w:color="000000" w:themeColor="text1"/>
        </w:rPr>
        <w:tab/>
        <w:t>The provisions of Chapter 31, Title 6 also apply to this chapter, except that the requirements of Section 6</w:t>
      </w:r>
      <w:r w:rsidRPr="00F33A1D">
        <w:rPr>
          <w:color w:val="000000" w:themeColor="text1"/>
          <w:u w:color="000000" w:themeColor="text1"/>
        </w:rPr>
        <w:noBreakHyphen/>
        <w:t>31</w:t>
      </w:r>
      <w:r w:rsidRPr="00F33A1D">
        <w:rPr>
          <w:color w:val="000000" w:themeColor="text1"/>
          <w:u w:color="000000" w:themeColor="text1"/>
        </w:rPr>
        <w:noBreakHyphen/>
        <w:t>40 do not apply.”</w:t>
      </w: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Pr>
          <w:color w:val="000000" w:themeColor="text1"/>
        </w:rPr>
        <w:tab/>
        <w:t>The provisions of Chapter 67, Title 12 contained in this act are repealed on December 31, 2019.  Any carry forward credits shall continue to be allowed until the five year time period in Section 12</w:t>
      </w:r>
      <w:r>
        <w:rPr>
          <w:color w:val="000000" w:themeColor="text1"/>
        </w:rPr>
        <w:noBreakHyphen/>
        <w:t>67</w:t>
      </w:r>
      <w:r>
        <w:rPr>
          <w:color w:val="000000" w:themeColor="text1"/>
        </w:rPr>
        <w:noBreakHyphen/>
        <w:t>140 is completed.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2.</w:t>
      </w:r>
      <w:r w:rsidRPr="00F33A1D">
        <w:rPr>
          <w:color w:val="000000" w:themeColor="text1"/>
          <w:u w:color="000000" w:themeColor="text1"/>
        </w:rPr>
        <w:tab/>
        <w:t>This act takes effect upon approval by the Governor, and applies to the rehabilitation, renovation, and redevelopment of abandoned buildings begun after the effective date of this chapter which are undertaken in conformity with the provisions of this act.</w:t>
      </w:r>
    </w:p>
    <w:p w:rsidR="0029283D" w:rsidRDefault="00AC7B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83D" w:rsidRDefault="0029283D" w:rsidP="007431CB">
      <w:pPr>
        <w:suppressAutoHyphens/>
      </w:pPr>
    </w:p>
    <w:sectPr w:rsidR="0029283D" w:rsidSect="008268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31" w:rsidRDefault="003D1331" w:rsidP="009F0C77">
      <w:r>
        <w:separator/>
      </w:r>
    </w:p>
  </w:endnote>
  <w:endnote w:type="continuationSeparator" w:id="0">
    <w:p w:rsidR="003D1331" w:rsidRDefault="003D1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D9BD85-F3ED-48CA-BA2A-990BDAD3AE8D}"/>
    <w:embedBold r:id="rId2" w:fontKey="{D4AFBAD9-A845-4E79-A416-A5C65357D2A3}"/>
  </w:font>
  <w:font w:name="Calibri">
    <w:panose1 w:val="020F0502020204030204"/>
    <w:charset w:val="00"/>
    <w:family w:val="swiss"/>
    <w:pitch w:val="variable"/>
    <w:sig w:usb0="E00002FF" w:usb1="4000ACFF" w:usb2="00000001" w:usb3="00000000" w:csb0="0000019F" w:csb1="00000000"/>
    <w:embedRegular r:id="rId3" w:fontKey="{B4E84A61-A783-41C0-BA5D-E9C34D10A903}"/>
  </w:font>
  <w:font w:name="Cambria">
    <w:panose1 w:val="02040503050406030204"/>
    <w:charset w:val="00"/>
    <w:family w:val="roman"/>
    <w:pitch w:val="variable"/>
    <w:sig w:usb0="E00002FF" w:usb1="400004FF" w:usb2="00000000" w:usb3="00000000" w:csb0="0000019F" w:csb1="00000000"/>
    <w:embedRegular r:id="rId4" w:fontKey="{0B810352-2F4F-4823-884A-18BE9F0803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0E" w:rsidRPr="0029283D" w:rsidRDefault="0029283D" w:rsidP="0029283D">
    <w:pPr>
      <w:pStyle w:val="Footer"/>
      <w:tabs>
        <w:tab w:val="clear" w:pos="4680"/>
        <w:tab w:val="clear" w:pos="9360"/>
        <w:tab w:val="center" w:pos="2995"/>
      </w:tabs>
      <w:spacing w:before="120"/>
    </w:pPr>
    <w:r>
      <w:t>[234</w:t>
    </w:r>
    <w:r w:rsidR="00826899">
      <w:t>-</w:t>
    </w:r>
    <w:fldSimple w:instr=" PAGE  \* MERGEFORMAT ">
      <w:r w:rsidR="007431CB">
        <w:rPr>
          <w:noProof/>
        </w:rPr>
        <w:t>1</w:t>
      </w:r>
    </w:fldSimple>
    <w:r w:rsidR="008268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99" w:rsidRPr="0029283D" w:rsidRDefault="00826899" w:rsidP="0029283D">
    <w:pPr>
      <w:pStyle w:val="Footer"/>
      <w:tabs>
        <w:tab w:val="clear" w:pos="4680"/>
        <w:tab w:val="clear" w:pos="9360"/>
        <w:tab w:val="center" w:pos="2995"/>
      </w:tabs>
      <w:spacing w:before="120"/>
    </w:pPr>
    <w:r>
      <w:t>[234]</w:t>
    </w:r>
    <w:r>
      <w:tab/>
    </w:r>
    <w:fldSimple w:instr=" PAGE  \* MERGEFORMAT ">
      <w:r w:rsidR="007431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31" w:rsidRDefault="003D1331" w:rsidP="009F0C77">
      <w:r>
        <w:separator/>
      </w:r>
    </w:p>
  </w:footnote>
  <w:footnote w:type="continuationSeparator" w:id="0">
    <w:p w:rsidR="003D1331" w:rsidRDefault="003D1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26C9A"/>
    <w:rsid w:val="000449B7"/>
    <w:rsid w:val="000965A1"/>
    <w:rsid w:val="000E1785"/>
    <w:rsid w:val="000E54A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83D"/>
    <w:rsid w:val="00294ABE"/>
    <w:rsid w:val="002A3EB4"/>
    <w:rsid w:val="00325348"/>
    <w:rsid w:val="00393688"/>
    <w:rsid w:val="003C08AE"/>
    <w:rsid w:val="003D1331"/>
    <w:rsid w:val="003D411E"/>
    <w:rsid w:val="003E3C1E"/>
    <w:rsid w:val="003E6148"/>
    <w:rsid w:val="00400EAA"/>
    <w:rsid w:val="00411127"/>
    <w:rsid w:val="0041760A"/>
    <w:rsid w:val="004809EE"/>
    <w:rsid w:val="004B5C0E"/>
    <w:rsid w:val="004E3735"/>
    <w:rsid w:val="00511EE9"/>
    <w:rsid w:val="00521E00"/>
    <w:rsid w:val="00577C6C"/>
    <w:rsid w:val="0058501B"/>
    <w:rsid w:val="006215AA"/>
    <w:rsid w:val="006340D9"/>
    <w:rsid w:val="00643B8E"/>
    <w:rsid w:val="00665EBC"/>
    <w:rsid w:val="0069470D"/>
    <w:rsid w:val="006A476C"/>
    <w:rsid w:val="006C6A93"/>
    <w:rsid w:val="006D761E"/>
    <w:rsid w:val="006E02F9"/>
    <w:rsid w:val="00733490"/>
    <w:rsid w:val="007431CB"/>
    <w:rsid w:val="00753C04"/>
    <w:rsid w:val="00756946"/>
    <w:rsid w:val="00757F80"/>
    <w:rsid w:val="00771EEC"/>
    <w:rsid w:val="00786819"/>
    <w:rsid w:val="00790453"/>
    <w:rsid w:val="007A325A"/>
    <w:rsid w:val="007A663E"/>
    <w:rsid w:val="007F1523"/>
    <w:rsid w:val="007F509E"/>
    <w:rsid w:val="007F5799"/>
    <w:rsid w:val="007F6947"/>
    <w:rsid w:val="00826899"/>
    <w:rsid w:val="00872729"/>
    <w:rsid w:val="008867AB"/>
    <w:rsid w:val="008E4008"/>
    <w:rsid w:val="008F4429"/>
    <w:rsid w:val="0091612F"/>
    <w:rsid w:val="009352BB"/>
    <w:rsid w:val="00990668"/>
    <w:rsid w:val="009F0C77"/>
    <w:rsid w:val="009F4DD1"/>
    <w:rsid w:val="00A64E80"/>
    <w:rsid w:val="00A741D9"/>
    <w:rsid w:val="00A9741D"/>
    <w:rsid w:val="00AC7B63"/>
    <w:rsid w:val="00AD4B17"/>
    <w:rsid w:val="00AD544F"/>
    <w:rsid w:val="00B26FA6"/>
    <w:rsid w:val="00B741CB"/>
    <w:rsid w:val="00B934F3"/>
    <w:rsid w:val="00BB0D7A"/>
    <w:rsid w:val="00BB6347"/>
    <w:rsid w:val="00BD2134"/>
    <w:rsid w:val="00C038D8"/>
    <w:rsid w:val="00C045DD"/>
    <w:rsid w:val="00C3136F"/>
    <w:rsid w:val="00C3483A"/>
    <w:rsid w:val="00C74E9D"/>
    <w:rsid w:val="00C82FD3"/>
    <w:rsid w:val="00CC6B7B"/>
    <w:rsid w:val="00CD3619"/>
    <w:rsid w:val="00CF4447"/>
    <w:rsid w:val="00D405E7"/>
    <w:rsid w:val="00D41D56"/>
    <w:rsid w:val="00D6034E"/>
    <w:rsid w:val="00D6260D"/>
    <w:rsid w:val="00D6662B"/>
    <w:rsid w:val="00D95E2F"/>
    <w:rsid w:val="00D970A9"/>
    <w:rsid w:val="00DB3AC0"/>
    <w:rsid w:val="00DE68F0"/>
    <w:rsid w:val="00DF3845"/>
    <w:rsid w:val="00DF7E17"/>
    <w:rsid w:val="00E628A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78D7-BC42-410C-88A3-7C53034FD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2584</Words>
  <Characters>14735</Characters>
  <Application>Microsoft Office Word</Application>
  <DocSecurity>0</DocSecurity>
  <Lines>122</Lines>
  <Paragraphs>34</Paragraphs>
  <ScaleCrop>false</ScaleCrop>
  <Company> </Company>
  <LinksUpToDate>false</LinksUpToDate>
  <CharactersWithSpaces>17285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2013-03-06T22:21:00Z</dcterms:created>
  <dcterms:modified xsi:type="dcterms:W3CDTF">2013-03-06T22:21:00Z</dcterms:modified>
</cp:coreProperties>
</file>