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EE5" w:rsidRDefault="00115EE5" w:rsidP="009A4D6D">
      <w:pPr>
        <w:pStyle w:val="BillDots"/>
      </w:pPr>
      <w:r>
        <w:rPr>
          <w:strike/>
        </w:rPr>
        <w:t>Indicates Matter Stricken</w:t>
      </w:r>
    </w:p>
    <w:p w:rsidR="00115EE5" w:rsidRPr="00115EE5" w:rsidRDefault="00115EE5" w:rsidP="009A4D6D">
      <w:pPr>
        <w:pStyle w:val="BillDots"/>
      </w:pPr>
      <w:r>
        <w:rPr>
          <w:u w:val="single"/>
        </w:rPr>
        <w:t>Indicates New Matter</w:t>
      </w:r>
    </w:p>
    <w:p w:rsidR="00115EE5" w:rsidRDefault="00115EE5" w:rsidP="009A4D6D">
      <w:pPr>
        <w:pStyle w:val="BillDots"/>
      </w:pPr>
    </w:p>
    <w:p w:rsidR="00E61133" w:rsidRDefault="00E61133" w:rsidP="00115EE5">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E61133" w:rsidRDefault="00E61133" w:rsidP="00115EE5">
      <w:pPr>
        <w:pStyle w:val="BillDots"/>
        <w:tabs>
          <w:tab w:val="clear" w:pos="216"/>
          <w:tab w:val="clear" w:pos="432"/>
          <w:tab w:val="clear" w:pos="648"/>
          <w:tab w:val="clear" w:pos="864"/>
          <w:tab w:val="clear" w:pos="1080"/>
          <w:tab w:val="clear" w:pos="1296"/>
          <w:tab w:val="clear" w:pos="5904"/>
          <w:tab w:val="right" w:pos="5933"/>
        </w:tabs>
      </w:pPr>
      <w:r>
        <w:t>February 20, 2014</w:t>
      </w:r>
    </w:p>
    <w:p w:rsidR="00E61133" w:rsidRDefault="00E61133" w:rsidP="00115EE5">
      <w:pPr>
        <w:pStyle w:val="BillDots"/>
        <w:tabs>
          <w:tab w:val="clear" w:pos="216"/>
          <w:tab w:val="clear" w:pos="432"/>
          <w:tab w:val="clear" w:pos="648"/>
          <w:tab w:val="clear" w:pos="864"/>
          <w:tab w:val="clear" w:pos="1080"/>
          <w:tab w:val="clear" w:pos="1296"/>
          <w:tab w:val="clear" w:pos="5904"/>
          <w:tab w:val="right" w:pos="5933"/>
        </w:tabs>
      </w:pPr>
    </w:p>
    <w:p w:rsidR="00115EE5" w:rsidRPr="00115EE5" w:rsidRDefault="00115EE5" w:rsidP="00115EE5">
      <w:pPr>
        <w:pStyle w:val="BillDots"/>
        <w:tabs>
          <w:tab w:val="clear" w:pos="216"/>
          <w:tab w:val="clear" w:pos="432"/>
          <w:tab w:val="clear" w:pos="648"/>
          <w:tab w:val="clear" w:pos="864"/>
          <w:tab w:val="clear" w:pos="1080"/>
          <w:tab w:val="clear" w:pos="1296"/>
          <w:tab w:val="clear" w:pos="5904"/>
          <w:tab w:val="right" w:pos="5933"/>
        </w:tabs>
      </w:pPr>
      <w:r>
        <w:tab/>
      </w:r>
      <w:r>
        <w:rPr>
          <w:b/>
          <w:sz w:val="36"/>
        </w:rPr>
        <w:t>H. 3027</w:t>
      </w:r>
    </w:p>
    <w:p w:rsidR="00115EE5" w:rsidRDefault="00115EE5" w:rsidP="009A4D6D">
      <w:pPr>
        <w:pStyle w:val="BillDots"/>
      </w:pPr>
    </w:p>
    <w:p w:rsidR="00115EE5" w:rsidRDefault="00115EE5" w:rsidP="00115EE5">
      <w:pPr>
        <w:pStyle w:val="BillDots"/>
      </w:pPr>
      <w:r>
        <w:t>Introduced by Reps. G.M. Smith, Pitts, Ballentine, J.E. Smith, Bernstein, Harrell, Cobb</w:t>
      </w:r>
      <w:r>
        <w:noBreakHyphen/>
        <w:t>Hunter, Whipper and R.L. Brown</w:t>
      </w:r>
    </w:p>
    <w:p w:rsidR="00115EE5" w:rsidRDefault="00115EE5" w:rsidP="009A4D6D">
      <w:pPr>
        <w:pStyle w:val="BillDots"/>
      </w:pPr>
    </w:p>
    <w:p w:rsidR="00115EE5" w:rsidRDefault="00E61133" w:rsidP="009A4D6D">
      <w:pPr>
        <w:pStyle w:val="BillDots"/>
      </w:pPr>
      <w:r>
        <w:t>S. Printed 2/20</w:t>
      </w:r>
      <w:r w:rsidR="00115EE5">
        <w:t>/14--S.</w:t>
      </w:r>
    </w:p>
    <w:p w:rsidR="00115EE5" w:rsidRDefault="00115EE5" w:rsidP="009A4D6D">
      <w:pPr>
        <w:pStyle w:val="BillDots"/>
      </w:pPr>
      <w:r>
        <w:t>Read the first time April 25, 2013.</w:t>
      </w:r>
    </w:p>
    <w:p w:rsidR="00115EE5" w:rsidRPr="00115EE5" w:rsidRDefault="00115EE5" w:rsidP="00115EE5">
      <w:pPr>
        <w:pStyle w:val="BillDots"/>
        <w:jc w:val="center"/>
      </w:pPr>
      <w:r>
        <w:rPr>
          <w:u w:val="single"/>
        </w:rPr>
        <w:t>            </w:t>
      </w:r>
    </w:p>
    <w:p w:rsidR="00927F74" w:rsidRPr="00927F74" w:rsidRDefault="00927F74" w:rsidP="009A4D6D">
      <w:pPr>
        <w:pStyle w:val="BillDots"/>
        <w:sectPr w:rsidR="00927F74" w:rsidRPr="00927F74" w:rsidSect="00AB0F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4D6D" w:rsidRDefault="009A4D6D" w:rsidP="009A4D6D">
      <w:pPr>
        <w:pStyle w:val="BillDots"/>
      </w:pPr>
    </w:p>
    <w:p w:rsidR="009A4D6D" w:rsidRDefault="009A4D6D" w:rsidP="009A4D6D">
      <w:pPr>
        <w:pStyle w:val="Numbersforbill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4C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F4CE0">
        <w:rPr>
          <w:color w:val="000000" w:themeColor="text1"/>
          <w:u w:color="000000" w:themeColor="text1"/>
        </w:rPr>
        <w:t>TO AMEND SECTION 12</w:t>
      </w:r>
      <w:r w:rsidR="00FB0240">
        <w:rPr>
          <w:color w:val="000000" w:themeColor="text1"/>
          <w:u w:color="000000" w:themeColor="text1"/>
        </w:rPr>
        <w:noBreakHyphen/>
      </w:r>
      <w:r w:rsidRPr="005F4CE0">
        <w:rPr>
          <w:color w:val="000000" w:themeColor="text1"/>
          <w:u w:color="000000" w:themeColor="text1"/>
        </w:rPr>
        <w:t>43</w:t>
      </w:r>
      <w:r w:rsidR="00FB0240">
        <w:rPr>
          <w:color w:val="000000" w:themeColor="text1"/>
          <w:u w:color="000000" w:themeColor="text1"/>
        </w:rPr>
        <w:noBreakHyphen/>
      </w:r>
      <w:r w:rsidR="00AD332D">
        <w:rPr>
          <w:color w:val="000000" w:themeColor="text1"/>
          <w:u w:color="000000" w:themeColor="text1"/>
        </w:rPr>
        <w:t xml:space="preserve">220, AS AMENDED, </w:t>
      </w:r>
      <w:r w:rsidRPr="005F4CE0">
        <w:rPr>
          <w:color w:val="000000" w:themeColor="text1"/>
          <w:u w:color="000000" w:themeColor="text1"/>
        </w:rPr>
        <w:t xml:space="preserve">CODE OF LAWS OF SOUTH CAROLINA, 1976, RELATING TO PROPERTY TAX ASSESSMENT RATIOS, SO AS TO PROVIDE THAT, IN CERTAIN </w:t>
      </w:r>
      <w:r w:rsidR="00AD332D" w:rsidRPr="005F4CE0">
        <w:rPr>
          <w:color w:val="000000" w:themeColor="text1"/>
          <w:u w:color="000000" w:themeColor="text1"/>
        </w:rPr>
        <w:t>SITUATIONS</w:t>
      </w:r>
      <w:r w:rsidRPr="005F4CE0">
        <w:rPr>
          <w:color w:val="000000" w:themeColor="text1"/>
          <w:u w:color="000000" w:themeColor="text1"/>
        </w:rPr>
        <w:t>, AN ACTIVE DUTY MEMBER OF THE ARMED FORCES OF THE UNITED STATES MAY CLAIM THE FOUR PERCENT ASSESSMENT RATIO REGARDLESS OF THE OWNER</w:t>
      </w:r>
      <w:r w:rsidR="00AD332D" w:rsidRPr="00AD332D">
        <w:rPr>
          <w:color w:val="000000" w:themeColor="text1"/>
          <w:u w:color="000000" w:themeColor="text1"/>
        </w:rPr>
        <w:t>’</w:t>
      </w:r>
      <w:r w:rsidRPr="005F4CE0">
        <w:rPr>
          <w:color w:val="000000" w:themeColor="text1"/>
          <w:u w:color="000000" w:themeColor="text1"/>
        </w:rPr>
        <w:t xml:space="preserve">S RELOCATION AND REGARDLESS OF ANY RENTAL INCOME, AND TO PROVIDE THAT AN ACTIVE DUTY MEMBER OF THE ARMED FORCES OF THE UNITED STATES, IN CERTAIN SITUATIONS, MAY CLAIM THE FOUR PERCENT ASSESSMENT RATIO ON TWO RESIDENTIAL PROPERTIES SO LONG AS THE OWNER ATTEMPTS TO SELL THE FIRST </w:t>
      </w:r>
      <w:r w:rsidR="00AD332D" w:rsidRPr="005F4CE0">
        <w:rPr>
          <w:color w:val="000000" w:themeColor="text1"/>
          <w:u w:color="000000" w:themeColor="text1"/>
        </w:rPr>
        <w:t>RESIDENCE</w:t>
      </w:r>
      <w:r w:rsidRPr="005F4CE0">
        <w:rPr>
          <w:color w:val="000000" w:themeColor="text1"/>
          <w:u w:color="000000" w:themeColor="text1"/>
        </w:rPr>
        <w:t xml:space="preserve"> WITHIN THIRTY DAYS OF ACQUIRING THE SECOND RESIDENCE.</w:t>
      </w:r>
    </w:p>
    <w:p w:rsidR="00E61133" w:rsidRDefault="00E61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C4CA6" w:rsidRDefault="006C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A6" w:rsidRDefault="006C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CA6" w:rsidRDefault="006C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DD8" w:rsidRPr="005F4CE0" w:rsidRDefault="006C4CA6"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4DD8" w:rsidRPr="005F4CE0">
        <w:rPr>
          <w:color w:val="000000" w:themeColor="text1"/>
          <w:u w:color="000000" w:themeColor="text1"/>
        </w:rPr>
        <w:t>Section 12</w:t>
      </w:r>
      <w:r w:rsidR="00FB0240">
        <w:rPr>
          <w:color w:val="000000" w:themeColor="text1"/>
          <w:u w:color="000000" w:themeColor="text1"/>
        </w:rPr>
        <w:noBreakHyphen/>
      </w:r>
      <w:r w:rsidR="00C34DD8" w:rsidRPr="005F4CE0">
        <w:rPr>
          <w:color w:val="000000" w:themeColor="text1"/>
          <w:u w:color="000000" w:themeColor="text1"/>
        </w:rPr>
        <w:t>43</w:t>
      </w:r>
      <w:r w:rsidR="00FB0240">
        <w:rPr>
          <w:color w:val="000000" w:themeColor="text1"/>
          <w:u w:color="000000" w:themeColor="text1"/>
        </w:rPr>
        <w:noBreakHyphen/>
      </w:r>
      <w:r w:rsidR="00C34DD8" w:rsidRPr="005F4CE0">
        <w:rPr>
          <w:color w:val="000000" w:themeColor="text1"/>
          <w:u w:color="000000" w:themeColor="text1"/>
        </w:rPr>
        <w:t>220(c)(2)(v) of the 1976 Code</w:t>
      </w:r>
      <w:r w:rsidR="00B52EB7">
        <w:rPr>
          <w:color w:val="000000" w:themeColor="text1"/>
          <w:u w:color="000000" w:themeColor="text1"/>
        </w:rPr>
        <w:t>, as last amended by Act 179 of 2012,</w:t>
      </w:r>
      <w:r w:rsidR="00C34DD8" w:rsidRPr="005F4CE0">
        <w:rPr>
          <w:color w:val="000000" w:themeColor="text1"/>
          <w:u w:color="000000" w:themeColor="text1"/>
        </w:rPr>
        <w:t xml:space="preserve"> is </w:t>
      </w:r>
      <w:r w:rsidR="00B52EB7">
        <w:rPr>
          <w:color w:val="000000" w:themeColor="text1"/>
          <w:u w:color="000000" w:themeColor="text1"/>
        </w:rPr>
        <w:t xml:space="preserve">further </w:t>
      </w:r>
      <w:r w:rsidR="00C34DD8" w:rsidRPr="005F4CE0">
        <w:rPr>
          <w:color w:val="000000" w:themeColor="text1"/>
          <w:u w:color="000000" w:themeColor="text1"/>
        </w:rPr>
        <w:t>amended to read:</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CE0">
        <w:rPr>
          <w:color w:val="000000" w:themeColor="text1"/>
          <w:u w:color="000000" w:themeColor="text1"/>
        </w:rPr>
        <w:tab/>
        <w:t>“(v)</w:t>
      </w:r>
      <w:r w:rsidRPr="005F4CE0">
        <w:rPr>
          <w:color w:val="000000" w:themeColor="text1"/>
          <w:u w:val="single" w:color="000000" w:themeColor="text1"/>
        </w:rPr>
        <w:t>(A)</w:t>
      </w:r>
      <w:r w:rsidRPr="005F4CE0">
        <w:rPr>
          <w:color w:val="000000" w:themeColor="text1"/>
          <w:u w:color="000000" w:themeColor="text1"/>
        </w:rPr>
        <w:tab/>
        <w:t xml:space="preserve">A member of the armed forces of the United States on active duty who is a legal resident of and domiciled in another state is nevertheless deemed a legal resident and domiciled in this State for purposes of this item if the </w:t>
      </w:r>
      <w:r w:rsidRPr="00B77DAC">
        <w:rPr>
          <w:strike/>
          <w:color w:val="000000" w:themeColor="text1"/>
          <w:u w:color="000000" w:themeColor="text1"/>
        </w:rPr>
        <w:t>members</w:t>
      </w:r>
      <w:r w:rsidRPr="005F4CE0">
        <w:rPr>
          <w:color w:val="000000" w:themeColor="text1"/>
          <w:u w:color="000000" w:themeColor="text1"/>
        </w:rPr>
        <w:t xml:space="preserve"> </w:t>
      </w:r>
      <w:r w:rsidR="00B77DAC">
        <w:rPr>
          <w:color w:val="000000" w:themeColor="text1"/>
          <w:u w:val="single" w:color="000000" w:themeColor="text1"/>
        </w:rPr>
        <w:t xml:space="preserve">member’s </w:t>
      </w:r>
      <w:r w:rsidRPr="005F4CE0">
        <w:rPr>
          <w:color w:val="000000" w:themeColor="text1"/>
          <w:u w:color="000000" w:themeColor="text1"/>
        </w:rPr>
        <w:t>permanent duty station is in this State.  A copy of the member</w:t>
      </w:r>
      <w:r w:rsidR="00AD332D" w:rsidRPr="00AD332D">
        <w:rPr>
          <w:color w:val="000000" w:themeColor="text1"/>
          <w:u w:color="000000" w:themeColor="text1"/>
        </w:rPr>
        <w:t>’</w:t>
      </w:r>
      <w:r w:rsidRPr="005F4CE0">
        <w:rPr>
          <w:color w:val="000000" w:themeColor="text1"/>
          <w:u w:color="000000" w:themeColor="text1"/>
        </w:rPr>
        <w:t>s orders filed with the assessor is considered proof sufficient of the member</w:t>
      </w:r>
      <w:r w:rsidR="00AD332D" w:rsidRPr="00AD332D">
        <w:rPr>
          <w:color w:val="000000" w:themeColor="text1"/>
          <w:u w:color="000000" w:themeColor="text1"/>
        </w:rPr>
        <w:t>’</w:t>
      </w:r>
      <w:r w:rsidRPr="005F4CE0">
        <w:rPr>
          <w:color w:val="000000" w:themeColor="text1"/>
          <w:u w:color="000000" w:themeColor="text1"/>
        </w:rPr>
        <w:t>s permanent duty station.</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(B)</w:t>
      </w:r>
      <w:r w:rsidRPr="005F4CE0">
        <w:rPr>
          <w:color w:val="000000" w:themeColor="text1"/>
          <w:u w:color="000000" w:themeColor="text1"/>
        </w:rPr>
        <w:tab/>
      </w:r>
      <w:r w:rsidRPr="005F4CE0">
        <w:rPr>
          <w:color w:val="000000" w:themeColor="text1"/>
          <w:u w:val="single" w:color="000000" w:themeColor="text1"/>
        </w:rPr>
        <w:t xml:space="preserve">An active duty member of the Armed Forces of the United States eligible for and receiving the special assessment ratio </w:t>
      </w:r>
      <w:r w:rsidRPr="005F4CE0">
        <w:rPr>
          <w:color w:val="000000" w:themeColor="text1"/>
          <w:u w:val="single" w:color="000000" w:themeColor="text1"/>
        </w:rPr>
        <w:lastRenderedPageBreak/>
        <w:t>for owner</w:t>
      </w:r>
      <w:r w:rsidR="00FB0240">
        <w:rPr>
          <w:color w:val="000000" w:themeColor="text1"/>
          <w:u w:val="single" w:color="000000" w:themeColor="text1"/>
        </w:rPr>
        <w:noBreakHyphen/>
      </w:r>
      <w:r w:rsidRPr="005F4CE0">
        <w:rPr>
          <w:color w:val="000000" w:themeColor="text1"/>
          <w:u w:val="single" w:color="000000" w:themeColor="text1"/>
        </w:rPr>
        <w:t xml:space="preserve">occupied residential property allowed pursuant to this </w:t>
      </w:r>
      <w:r w:rsidR="00DD5FFA">
        <w:rPr>
          <w:color w:val="000000" w:themeColor="text1"/>
          <w:u w:val="single" w:color="000000" w:themeColor="text1"/>
        </w:rPr>
        <w:t>subsection</w:t>
      </w:r>
      <w:r w:rsidRPr="005F4CE0">
        <w:rPr>
          <w:color w:val="000000" w:themeColor="text1"/>
          <w:u w:val="single" w:color="000000" w:themeColor="text1"/>
        </w:rPr>
        <w:t xml:space="preserve"> (c), who receives orders for a permanent change of station or a temporary duty assignment for at least one year, retains that four percent assessment ratio and applicable exemptions for so long as the owner remains on active duty, regardless of the owner</w:t>
      </w:r>
      <w:r w:rsidR="00AD332D" w:rsidRPr="00AD332D">
        <w:rPr>
          <w:color w:val="000000" w:themeColor="text1"/>
          <w:u w:val="single" w:color="000000" w:themeColor="text1"/>
        </w:rPr>
        <w:t>’</w:t>
      </w:r>
      <w:r w:rsidRPr="005F4CE0">
        <w:rPr>
          <w:color w:val="000000" w:themeColor="text1"/>
          <w:u w:val="single" w:color="000000" w:themeColor="text1"/>
        </w:rPr>
        <w:t xml:space="preserve">s subsequent relocation and regardless of any rental income attributable </w:t>
      </w:r>
      <w:r w:rsidR="00DD5FFA">
        <w:rPr>
          <w:color w:val="000000" w:themeColor="text1"/>
          <w:u w:val="single" w:color="000000" w:themeColor="text1"/>
        </w:rPr>
        <w:t xml:space="preserve">to the property.  Subject to </w:t>
      </w:r>
      <w:r w:rsidRPr="005F4CE0">
        <w:rPr>
          <w:color w:val="000000" w:themeColor="text1"/>
          <w:u w:val="single" w:color="000000" w:themeColor="text1"/>
        </w:rPr>
        <w:t>subsubitem</w:t>
      </w:r>
      <w:r w:rsidR="00DD5FFA">
        <w:rPr>
          <w:color w:val="000000" w:themeColor="text1"/>
          <w:u w:val="single" w:color="000000" w:themeColor="text1"/>
        </w:rPr>
        <w:t xml:space="preserve"> (C), the provisions of this </w:t>
      </w:r>
      <w:r w:rsidRPr="005F4CE0">
        <w:rPr>
          <w:color w:val="000000" w:themeColor="text1"/>
          <w:u w:val="single" w:color="000000" w:themeColor="text1"/>
        </w:rPr>
        <w:t>subsubitem (B) do not apply if the owner or a member of the owner</w:t>
      </w:r>
      <w:r w:rsidR="00AD332D" w:rsidRPr="00AD332D">
        <w:rPr>
          <w:color w:val="000000" w:themeColor="text1"/>
          <w:u w:val="single" w:color="000000" w:themeColor="text1"/>
        </w:rPr>
        <w:t>’</w:t>
      </w:r>
      <w:r w:rsidR="00DD5FFA">
        <w:rPr>
          <w:color w:val="000000" w:themeColor="text1"/>
          <w:u w:val="single" w:color="000000" w:themeColor="text1"/>
        </w:rPr>
        <w:t>s household, as defined in item (2)(iii) of this subsection</w:t>
      </w:r>
      <w:r w:rsidRPr="005F4CE0">
        <w:rPr>
          <w:color w:val="000000" w:themeColor="text1"/>
          <w:u w:val="single" w:color="000000" w:themeColor="text1"/>
        </w:rPr>
        <w:t xml:space="preserve"> (c), claims the special four percent assessment ratio </w:t>
      </w:r>
      <w:r w:rsidR="00DD5FFA">
        <w:rPr>
          <w:color w:val="000000" w:themeColor="text1"/>
          <w:u w:val="single" w:color="000000" w:themeColor="text1"/>
        </w:rPr>
        <w:t>allowed pursuant to this subsection</w:t>
      </w:r>
      <w:r w:rsidRPr="005F4CE0">
        <w:rPr>
          <w:color w:val="000000" w:themeColor="text1"/>
          <w:u w:val="single" w:color="000000" w:themeColor="text1"/>
        </w:rPr>
        <w:t xml:space="preserve"> for any other residential property located in this State.</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(C)(1)</w:t>
      </w:r>
      <w:r w:rsidRPr="005F4CE0">
        <w:rPr>
          <w:color w:val="000000" w:themeColor="text1"/>
          <w:u w:color="000000" w:themeColor="text1"/>
        </w:rPr>
        <w:tab/>
      </w:r>
      <w:r w:rsidRPr="005F4CE0">
        <w:rPr>
          <w:color w:val="000000" w:themeColor="text1"/>
          <w:u w:val="single" w:color="000000" w:themeColor="text1"/>
        </w:rPr>
        <w:t xml:space="preserve">Notwithstanding any other provision of law, an active duty member of the Armed Forces of the United States meeting all the other requirements of this subsection who receives orders for a permanent change of station or a temporary duty assignment for at least one year, may claim the four percent assessment ratio and applicable exemptions for two residential properties located in the State so long as the owner attempts to sell the first acquired residence within thirty days of acquiring the second residence.  The taxpayer must continue to attempt to sell the first acquired residence in any year in which four percent assessment ratio is claimed.  </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(2)</w:t>
      </w:r>
      <w:r w:rsidRPr="005F4CE0">
        <w:rPr>
          <w:color w:val="000000" w:themeColor="text1"/>
          <w:u w:color="000000" w:themeColor="text1"/>
        </w:rPr>
        <w:tab/>
      </w:r>
      <w:r w:rsidRPr="005F4CE0">
        <w:rPr>
          <w:color w:val="000000" w:themeColor="text1"/>
          <w:u w:val="single" w:color="000000" w:themeColor="text1"/>
        </w:rPr>
        <w:t>The four percent assessment ratio may not be claimed on both residences for more than two property tax years.</w:t>
      </w:r>
      <w:r w:rsidRPr="005F4CE0">
        <w:rPr>
          <w:color w:val="000000" w:themeColor="text1"/>
          <w:u w:color="000000" w:themeColor="text1"/>
        </w:rPr>
        <w:tab/>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00927F74" w:rsidRPr="00C32DFA">
        <w:rPr>
          <w:u w:color="000000" w:themeColor="text1"/>
        </w:rPr>
        <w:tab/>
      </w:r>
      <w:r w:rsidR="00927F74" w:rsidRPr="00C32DFA">
        <w:rPr>
          <w:u w:val="single" w:color="000000" w:themeColor="text1"/>
        </w:rPr>
        <w:t>(3)</w:t>
      </w:r>
      <w:r w:rsidR="00927F74" w:rsidRPr="00C32DFA">
        <w:rPr>
          <w:u w:color="000000" w:themeColor="text1"/>
        </w:rPr>
        <w:tab/>
      </w:r>
      <w:r w:rsidR="00927F74" w:rsidRPr="00C32DFA">
        <w:rPr>
          <w:u w:val="single" w:color="000000" w:themeColor="text1"/>
        </w:rPr>
        <w:t>This subsubitem does not apply unless the owner of the properties or the owner’s agent applies for the four percent assessment ratio on both residences before the first penalty date for the payment of taxes for the tax year for which the owner first claims eligibility for this assessment ratio.  The burden of proof for eligibility for the four percent assessment ratio on both residences is on the taxpayer.  The taxpayer must provide the proof the assessor requires, including, but not limited to, a copy of the owner’s most recently filed South Carolina individual income tax return and copies of South Carolina motor vehicle registrations for all motor vehicles registered in the name of the owner. The taxpayer must apply to the county assessor by May fifteenth of each year to utilize the provisions of subsubitems (B) and (C) . Along with the application, the applicant must submit a Leave and Earnings Statement (LES) from the current calendar year. Any information contained in the LES that is not related to the active duty status of the member may be redacted.</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lastRenderedPageBreak/>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(D)</w:t>
      </w:r>
      <w:r w:rsidRPr="005F4CE0">
        <w:rPr>
          <w:color w:val="000000" w:themeColor="text1"/>
          <w:u w:color="000000" w:themeColor="text1"/>
        </w:rPr>
        <w:tab/>
      </w:r>
      <w:r w:rsidR="00DD5FFA">
        <w:rPr>
          <w:color w:val="000000" w:themeColor="text1"/>
          <w:u w:val="single" w:color="000000" w:themeColor="text1"/>
        </w:rPr>
        <w:t xml:space="preserve">For purposes of </w:t>
      </w:r>
      <w:r w:rsidRPr="005F4CE0">
        <w:rPr>
          <w:color w:val="000000" w:themeColor="text1"/>
          <w:u w:val="single" w:color="000000" w:themeColor="text1"/>
        </w:rPr>
        <w:t>subsubitems (B) and (C), owner includes the spouse of the service member who jointly owns the qualifying property.</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(E)</w:t>
      </w:r>
      <w:r w:rsidRPr="005F4CE0">
        <w:rPr>
          <w:color w:val="000000" w:themeColor="text1"/>
          <w:u w:color="000000" w:themeColor="text1"/>
        </w:rPr>
        <w:tab/>
      </w:r>
      <w:r w:rsidRPr="005F4CE0">
        <w:rPr>
          <w:color w:val="000000" w:themeColor="text1"/>
          <w:u w:val="single" w:color="000000" w:themeColor="text1"/>
        </w:rPr>
        <w:t>The special four percent asse</w:t>
      </w:r>
      <w:r w:rsidR="00DD5FFA">
        <w:rPr>
          <w:color w:val="000000" w:themeColor="text1"/>
          <w:u w:val="single" w:color="000000" w:themeColor="text1"/>
        </w:rPr>
        <w:t xml:space="preserve">ssment ratio allowed by this </w:t>
      </w:r>
      <w:r w:rsidRPr="005F4CE0">
        <w:rPr>
          <w:color w:val="000000" w:themeColor="text1"/>
          <w:u w:val="single" w:color="000000" w:themeColor="text1"/>
        </w:rPr>
        <w:t>subitem (v) must be construed as a property tax exemption for an amount of the fair market value of the residence sufficient to equal a four percent assessment ratio and other exemptions allowed applicable to property qualifying for the special assessment ratio.</w:t>
      </w:r>
      <w:r w:rsidRPr="005F4CE0">
        <w:rPr>
          <w:color w:val="000000" w:themeColor="text1"/>
          <w:u w:color="000000" w:themeColor="text1"/>
        </w:rPr>
        <w:t>”</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CE0">
        <w:rPr>
          <w:color w:val="000000" w:themeColor="text1"/>
          <w:u w:color="000000" w:themeColor="text1"/>
        </w:rPr>
        <w:t>SECTION</w:t>
      </w:r>
      <w:r w:rsidRPr="005F4CE0">
        <w:rPr>
          <w:color w:val="000000" w:themeColor="text1"/>
          <w:u w:color="000000" w:themeColor="text1"/>
        </w:rPr>
        <w:tab/>
        <w:t>2.</w:t>
      </w:r>
      <w:r w:rsidRPr="005F4CE0">
        <w:rPr>
          <w:color w:val="000000" w:themeColor="text1"/>
          <w:u w:color="000000" w:themeColor="text1"/>
        </w:rPr>
        <w:tab/>
        <w:t>This act takes effect upon approval by the Governor and applies for property tax years beginning after 201</w:t>
      </w:r>
      <w:r w:rsidR="00E61133">
        <w:rPr>
          <w:color w:val="000000" w:themeColor="text1"/>
          <w:u w:color="000000" w:themeColor="text1"/>
        </w:rPr>
        <w:t>3</w:t>
      </w:r>
      <w:r w:rsidRPr="005F4CE0">
        <w:rPr>
          <w:color w:val="000000" w:themeColor="text1"/>
          <w:u w:color="000000" w:themeColor="text1"/>
        </w:rPr>
        <w:t>.</w:t>
      </w:r>
    </w:p>
    <w:p w:rsidR="00A53334" w:rsidRDefault="00FB02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334" w:rsidRDefault="00A53334" w:rsidP="002B2162">
      <w:pPr>
        <w:suppressAutoHyphens/>
      </w:pPr>
    </w:p>
    <w:sectPr w:rsidR="00A53334" w:rsidSect="00AB0F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CA6" w:rsidRDefault="006C4CA6" w:rsidP="009F0C77">
      <w:r>
        <w:separator/>
      </w:r>
    </w:p>
  </w:endnote>
  <w:endnote w:type="continuationSeparator" w:id="0">
    <w:p w:rsidR="006C4CA6" w:rsidRDefault="006C4C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9970A4-3267-4967-9048-1EC8A0EBC69B}"/>
    <w:embedBold r:id="rId2" w:fontKey="{081C8D7C-1C43-4046-9676-08013CB35434}"/>
  </w:font>
  <w:font w:name="Calibri">
    <w:panose1 w:val="020F0502020204030204"/>
    <w:charset w:val="00"/>
    <w:family w:val="swiss"/>
    <w:pitch w:val="variable"/>
    <w:sig w:usb0="E10002FF" w:usb1="4000ACFF" w:usb2="00000009" w:usb3="00000000" w:csb0="0000019F" w:csb1="00000000"/>
    <w:embedRegular r:id="rId3" w:fontKey="{4A401052-5477-4BDD-9BE1-0FEDED60482F}"/>
  </w:font>
  <w:font w:name="Tahoma">
    <w:panose1 w:val="020B0604030504040204"/>
    <w:charset w:val="00"/>
    <w:family w:val="swiss"/>
    <w:pitch w:val="variable"/>
    <w:sig w:usb0="21002A87" w:usb1="80000000" w:usb2="00000008" w:usb3="00000000" w:csb0="000101FF" w:csb1="00000000"/>
    <w:embedRegular r:id="rId4" w:fontKey="{2AC1FEF4-2FEB-4FA2-ADC5-63AD446535E9}"/>
  </w:font>
  <w:font w:name="Cambria">
    <w:panose1 w:val="02040503050406030204"/>
    <w:charset w:val="00"/>
    <w:family w:val="roman"/>
    <w:pitch w:val="variable"/>
    <w:sig w:usb0="E00002FF" w:usb1="400004FF" w:usb2="00000000" w:usb3="00000000" w:csb0="0000019F" w:csb1="00000000"/>
    <w:embedRegular r:id="rId5" w:fontKey="{22134359-73BB-48AF-BA2E-8209ED2DBD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832" w:rsidRPr="00A53334" w:rsidRDefault="00A53334" w:rsidP="00A53334">
    <w:pPr>
      <w:pStyle w:val="Footer"/>
      <w:tabs>
        <w:tab w:val="clear" w:pos="4680"/>
        <w:tab w:val="clear" w:pos="9360"/>
        <w:tab w:val="center" w:pos="2995"/>
      </w:tabs>
      <w:spacing w:before="120"/>
    </w:pPr>
    <w:r>
      <w:t>[3027</w:t>
    </w:r>
    <w:r w:rsidR="00AB0F44">
      <w:t>-</w:t>
    </w:r>
    <w:fldSimple w:instr=" PAGE  \* MERGEFORMAT ">
      <w:r w:rsidR="002B2162">
        <w:rPr>
          <w:noProof/>
        </w:rPr>
        <w:t>1</w:t>
      </w:r>
    </w:fldSimple>
    <w:r w:rsidR="00AB0F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F44" w:rsidRPr="00A53334" w:rsidRDefault="00AB0F44" w:rsidP="00A53334">
    <w:pPr>
      <w:pStyle w:val="Footer"/>
      <w:tabs>
        <w:tab w:val="clear" w:pos="4680"/>
        <w:tab w:val="clear" w:pos="9360"/>
        <w:tab w:val="center" w:pos="2995"/>
      </w:tabs>
      <w:spacing w:before="120"/>
    </w:pPr>
    <w:r>
      <w:t>[3027]</w:t>
    </w:r>
    <w:r>
      <w:tab/>
    </w:r>
    <w:fldSimple w:instr=" PAGE  \* MERGEFORMAT ">
      <w:r w:rsidR="002B21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CA6" w:rsidRDefault="006C4CA6" w:rsidP="009F0C77">
      <w:r>
        <w:separator/>
      </w:r>
    </w:p>
  </w:footnote>
  <w:footnote w:type="continuationSeparator" w:id="0">
    <w:p w:rsidR="006C4CA6" w:rsidRDefault="006C4C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21DG13"/>
    <w:docVar w:name="CoverBillType" w:val="b"/>
    <w:docVar w:name="docpath" w:val="L:\Council\bills\NL\13021DG13.DOCX"/>
    <w:docVar w:name="dvBillNumber" w:val="3027"/>
    <w:docVar w:name="dvBillNumberPrefix" w:val="H. "/>
    <w:docVar w:name="dvOriginalBody" w:val="House"/>
    <w:docVar w:name="dvSteno" w:val="NL"/>
    <w:docVar w:name="NameofBody" w:val="h"/>
    <w:docVar w:name="vgroup2" w:val="Council"/>
  </w:docVars>
  <w:rsids>
    <w:rsidRoot w:val="005471EA"/>
    <w:rsid w:val="00011869"/>
    <w:rsid w:val="000D01DB"/>
    <w:rsid w:val="000E1785"/>
    <w:rsid w:val="000F40FA"/>
    <w:rsid w:val="0010776B"/>
    <w:rsid w:val="00115EE5"/>
    <w:rsid w:val="00133E66"/>
    <w:rsid w:val="001435A3"/>
    <w:rsid w:val="001D08F2"/>
    <w:rsid w:val="001D525B"/>
    <w:rsid w:val="001D7F4F"/>
    <w:rsid w:val="002321B6"/>
    <w:rsid w:val="00250967"/>
    <w:rsid w:val="002543C8"/>
    <w:rsid w:val="00284AAE"/>
    <w:rsid w:val="002B2162"/>
    <w:rsid w:val="002E5912"/>
    <w:rsid w:val="00301B21"/>
    <w:rsid w:val="00325348"/>
    <w:rsid w:val="0032732C"/>
    <w:rsid w:val="00336AD0"/>
    <w:rsid w:val="0037079A"/>
    <w:rsid w:val="003D01E8"/>
    <w:rsid w:val="003E5288"/>
    <w:rsid w:val="003F6D79"/>
    <w:rsid w:val="00403E8F"/>
    <w:rsid w:val="0041760A"/>
    <w:rsid w:val="00417C01"/>
    <w:rsid w:val="00451C1E"/>
    <w:rsid w:val="004809EE"/>
    <w:rsid w:val="004A7E5A"/>
    <w:rsid w:val="004E7D54"/>
    <w:rsid w:val="005273C6"/>
    <w:rsid w:val="00530A69"/>
    <w:rsid w:val="00545593"/>
    <w:rsid w:val="005471EA"/>
    <w:rsid w:val="00577C6C"/>
    <w:rsid w:val="005C2FE2"/>
    <w:rsid w:val="005C6517"/>
    <w:rsid w:val="005D7832"/>
    <w:rsid w:val="005E2BC9"/>
    <w:rsid w:val="00605102"/>
    <w:rsid w:val="006215AA"/>
    <w:rsid w:val="006913C9"/>
    <w:rsid w:val="0069470D"/>
    <w:rsid w:val="006C4CA6"/>
    <w:rsid w:val="00734F00"/>
    <w:rsid w:val="00767D7D"/>
    <w:rsid w:val="007A70AE"/>
    <w:rsid w:val="008362E8"/>
    <w:rsid w:val="0089065C"/>
    <w:rsid w:val="008A1768"/>
    <w:rsid w:val="008F0F33"/>
    <w:rsid w:val="008F4429"/>
    <w:rsid w:val="00927F74"/>
    <w:rsid w:val="0094021A"/>
    <w:rsid w:val="009A4D6D"/>
    <w:rsid w:val="009B44AF"/>
    <w:rsid w:val="009C6A0B"/>
    <w:rsid w:val="009F0C77"/>
    <w:rsid w:val="009F4DD1"/>
    <w:rsid w:val="00A41684"/>
    <w:rsid w:val="00A53334"/>
    <w:rsid w:val="00A64E80"/>
    <w:rsid w:val="00A72BCD"/>
    <w:rsid w:val="00A741D9"/>
    <w:rsid w:val="00A833AB"/>
    <w:rsid w:val="00A9741D"/>
    <w:rsid w:val="00AA44E0"/>
    <w:rsid w:val="00AB0F44"/>
    <w:rsid w:val="00AB16E7"/>
    <w:rsid w:val="00AD332D"/>
    <w:rsid w:val="00AD4B17"/>
    <w:rsid w:val="00AE02D6"/>
    <w:rsid w:val="00B412D4"/>
    <w:rsid w:val="00B52EB7"/>
    <w:rsid w:val="00B77DAC"/>
    <w:rsid w:val="00BE3C22"/>
    <w:rsid w:val="00C0345E"/>
    <w:rsid w:val="00C3483A"/>
    <w:rsid w:val="00C34DD8"/>
    <w:rsid w:val="00C459BD"/>
    <w:rsid w:val="00C74E9D"/>
    <w:rsid w:val="00C82FD3"/>
    <w:rsid w:val="00C92819"/>
    <w:rsid w:val="00CC6B7B"/>
    <w:rsid w:val="00CD2089"/>
    <w:rsid w:val="00CE6098"/>
    <w:rsid w:val="00D73A67"/>
    <w:rsid w:val="00D970A9"/>
    <w:rsid w:val="00DA57A6"/>
    <w:rsid w:val="00DD5FFA"/>
    <w:rsid w:val="00DF3845"/>
    <w:rsid w:val="00E41911"/>
    <w:rsid w:val="00E61133"/>
    <w:rsid w:val="00E92EEF"/>
    <w:rsid w:val="00F24442"/>
    <w:rsid w:val="00F3771B"/>
    <w:rsid w:val="00F50AE3"/>
    <w:rsid w:val="00F67CF1"/>
    <w:rsid w:val="00F840F0"/>
    <w:rsid w:val="00FB0240"/>
    <w:rsid w:val="00FB0D0D"/>
    <w:rsid w:val="00FB43B4"/>
    <w:rsid w:val="00FD61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0240"/>
    <w:rPr>
      <w:rFonts w:ascii="Tahoma" w:hAnsi="Tahoma" w:cs="Tahoma"/>
      <w:sz w:val="16"/>
      <w:szCs w:val="16"/>
    </w:rPr>
  </w:style>
  <w:style w:type="character" w:customStyle="1" w:styleId="BalloonTextChar">
    <w:name w:val="Balloon Text Char"/>
    <w:basedOn w:val="DefaultParagraphFont"/>
    <w:link w:val="BalloonText"/>
    <w:uiPriority w:val="99"/>
    <w:semiHidden/>
    <w:rsid w:val="00FB02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48F98-71E8-4374-A20B-58846D462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735</Words>
  <Characters>4196</Characters>
  <Application>Microsoft Office Word</Application>
  <DocSecurity>0</DocSecurity>
  <Lines>34</Lines>
  <Paragraphs>9</Paragraphs>
  <ScaleCrop>false</ScaleCrop>
  <Company>LPITS</Company>
  <LinksUpToDate>false</LinksUpToDate>
  <CharactersWithSpaces>4922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2012-11-28T19:17:00Z</cp:lastPrinted>
  <dcterms:created xsi:type="dcterms:W3CDTF">2014-02-20T22:54:00Z</dcterms:created>
  <dcterms:modified xsi:type="dcterms:W3CDTF">2014-02-20T22:54:00Z</dcterms:modified>
</cp:coreProperties>
</file>