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EFA" w:rsidRDefault="004D3EFA" w:rsidP="002A3EB4">
      <w:pPr>
        <w:pStyle w:val="BillDots"/>
      </w:pPr>
      <w:r>
        <w:rPr>
          <w:strike/>
        </w:rPr>
        <w:t>Indicates Matter Stricken</w:t>
      </w:r>
    </w:p>
    <w:p w:rsidR="004D3EFA" w:rsidRPr="004D3EFA" w:rsidRDefault="004D3EFA" w:rsidP="002A3EB4">
      <w:pPr>
        <w:pStyle w:val="BillDots"/>
      </w:pPr>
      <w:r>
        <w:rPr>
          <w:u w:val="single"/>
        </w:rPr>
        <w:t>Indicates New Matter</w:t>
      </w:r>
    </w:p>
    <w:p w:rsidR="004D3EFA" w:rsidRDefault="004D3EFA" w:rsidP="002A3EB4">
      <w:pPr>
        <w:pStyle w:val="BillDots"/>
      </w:pPr>
    </w:p>
    <w:p w:rsidR="004D3EFA" w:rsidRDefault="004D3EFA" w:rsidP="002A3EB4">
      <w:pPr>
        <w:pStyle w:val="BillDots"/>
      </w:pPr>
      <w:r>
        <w:t>COMMITTEE REPORT</w:t>
      </w:r>
    </w:p>
    <w:p w:rsidR="004D3EFA" w:rsidRDefault="004D3EFA" w:rsidP="002A3EB4">
      <w:pPr>
        <w:pStyle w:val="BillDots"/>
      </w:pPr>
      <w:r>
        <w:t>April 10, 2013</w:t>
      </w:r>
    </w:p>
    <w:p w:rsidR="004D3EFA" w:rsidRDefault="004D3EFA" w:rsidP="002A3EB4">
      <w:pPr>
        <w:pStyle w:val="BillDots"/>
      </w:pPr>
    </w:p>
    <w:p w:rsidR="004D3EFA" w:rsidRPr="004D3EFA" w:rsidRDefault="004D3EFA" w:rsidP="004D3EFA">
      <w:pPr>
        <w:pStyle w:val="BillDots"/>
        <w:tabs>
          <w:tab w:val="clear" w:pos="216"/>
          <w:tab w:val="clear" w:pos="432"/>
          <w:tab w:val="clear" w:pos="648"/>
          <w:tab w:val="clear" w:pos="864"/>
          <w:tab w:val="clear" w:pos="1080"/>
          <w:tab w:val="clear" w:pos="1296"/>
          <w:tab w:val="clear" w:pos="5904"/>
          <w:tab w:val="right" w:pos="5933"/>
        </w:tabs>
      </w:pPr>
      <w:r>
        <w:tab/>
      </w:r>
      <w:r>
        <w:rPr>
          <w:b/>
          <w:sz w:val="36"/>
        </w:rPr>
        <w:t>S. 530</w:t>
      </w:r>
    </w:p>
    <w:p w:rsidR="004D3EFA" w:rsidRDefault="004D3EFA" w:rsidP="002A3EB4">
      <w:pPr>
        <w:pStyle w:val="BillDots"/>
      </w:pPr>
    </w:p>
    <w:p w:rsidR="004D3EFA" w:rsidRDefault="004D3EFA" w:rsidP="004D3EFA">
      <w:pPr>
        <w:pStyle w:val="BillDots"/>
        <w:jc w:val="center"/>
      </w:pPr>
      <w:r>
        <w:t xml:space="preserve">Introduced by </w:t>
      </w:r>
      <w:r w:rsidRPr="005B1D7E">
        <w:t>Senators Hayes, Campbell and L. Martin</w:t>
      </w:r>
    </w:p>
    <w:p w:rsidR="004D3EFA" w:rsidRDefault="004D3EFA" w:rsidP="002A3EB4">
      <w:pPr>
        <w:pStyle w:val="BillDots"/>
      </w:pPr>
    </w:p>
    <w:p w:rsidR="004D3EFA" w:rsidRDefault="004D3EFA" w:rsidP="002A3EB4">
      <w:pPr>
        <w:pStyle w:val="BillDots"/>
      </w:pPr>
      <w:r>
        <w:t>S. Printed 4/10/13--S.</w:t>
      </w:r>
    </w:p>
    <w:p w:rsidR="004D3EFA" w:rsidRDefault="004D3EFA" w:rsidP="002A3EB4">
      <w:pPr>
        <w:pStyle w:val="BillDots"/>
      </w:pPr>
      <w:r>
        <w:t>Read the first time March 14, 2013.</w:t>
      </w:r>
    </w:p>
    <w:p w:rsidR="004D3EFA" w:rsidRPr="004D3EFA" w:rsidRDefault="004D3EFA" w:rsidP="004D3EFA">
      <w:pPr>
        <w:pStyle w:val="BillDots"/>
        <w:jc w:val="center"/>
      </w:pPr>
      <w:r>
        <w:rPr>
          <w:u w:val="single"/>
        </w:rPr>
        <w:t>            </w:t>
      </w:r>
    </w:p>
    <w:p w:rsidR="004D3EFA" w:rsidRDefault="004D3EFA" w:rsidP="002A3EB4">
      <w:pPr>
        <w:pStyle w:val="BillDots"/>
      </w:pPr>
    </w:p>
    <w:p w:rsidR="004D3EFA" w:rsidRPr="004D3EFA" w:rsidRDefault="004D3EFA" w:rsidP="004D3EFA">
      <w:pPr>
        <w:pStyle w:val="BillDots"/>
        <w:jc w:val="center"/>
      </w:pPr>
      <w:r>
        <w:rPr>
          <w:b/>
        </w:rPr>
        <w:t>THE COMMITTEE ON BANKING AND INSURANCE</w:t>
      </w:r>
    </w:p>
    <w:p w:rsidR="004D3EFA" w:rsidRDefault="004D3EFA" w:rsidP="002A3EB4">
      <w:pPr>
        <w:pStyle w:val="BillDots"/>
      </w:pPr>
      <w:r>
        <w:tab/>
        <w:t>To whom was referred a Bill (S. 530) to amend Section 38</w:t>
      </w:r>
      <w:r>
        <w:noBreakHyphen/>
        <w:t>71</w:t>
      </w:r>
      <w:r>
        <w:noBreakHyphen/>
        <w:t>1730, Code of Laws of South Carolina, 1976, relating to closed panel health plans, so as to remove the requirement that certain, etc., respectfully</w:t>
      </w:r>
    </w:p>
    <w:p w:rsidR="004D3EFA" w:rsidRPr="004D3EFA" w:rsidRDefault="004D3EFA" w:rsidP="004D3EFA">
      <w:pPr>
        <w:pStyle w:val="BillDots"/>
        <w:jc w:val="center"/>
      </w:pPr>
      <w:r>
        <w:rPr>
          <w:b/>
        </w:rPr>
        <w:t>REPORT:</w:t>
      </w:r>
    </w:p>
    <w:p w:rsidR="004D3EFA" w:rsidRDefault="004D3EFA" w:rsidP="002A3EB4">
      <w:pPr>
        <w:pStyle w:val="BillDots"/>
      </w:pPr>
      <w:r>
        <w:tab/>
        <w:t>That they have duly and carefully considered the same and recommend that the same do pass:</w:t>
      </w:r>
    </w:p>
    <w:p w:rsidR="004D3EFA" w:rsidRDefault="004D3EFA" w:rsidP="002A3EB4">
      <w:pPr>
        <w:pStyle w:val="BillDots"/>
      </w:pPr>
    </w:p>
    <w:p w:rsidR="004D3EFA" w:rsidRDefault="004D3EFA" w:rsidP="002A3EB4">
      <w:pPr>
        <w:pStyle w:val="BillDots"/>
      </w:pPr>
      <w:r>
        <w:t>ROBERT W. HAYES, JR. for Committee.</w:t>
      </w:r>
    </w:p>
    <w:p w:rsidR="004D3EFA" w:rsidRPr="004D3EFA" w:rsidRDefault="004D3EFA" w:rsidP="004D3EFA">
      <w:pPr>
        <w:pStyle w:val="BillDots"/>
        <w:jc w:val="center"/>
      </w:pPr>
      <w:r>
        <w:rPr>
          <w:u w:val="single"/>
        </w:rPr>
        <w:t>            </w:t>
      </w:r>
    </w:p>
    <w:p w:rsidR="004D3EFA" w:rsidRDefault="004D3EFA" w:rsidP="002A3EB4">
      <w:pPr>
        <w:pStyle w:val="BillDots"/>
      </w:pPr>
    </w:p>
    <w:p w:rsidR="004D3EFA" w:rsidRPr="004D3EFA" w:rsidRDefault="004D3EFA" w:rsidP="004D3EFA">
      <w:pPr>
        <w:pStyle w:val="BillDots"/>
        <w:jc w:val="center"/>
      </w:pPr>
      <w:r>
        <w:rPr>
          <w:b/>
          <w:u w:val="single"/>
        </w:rPr>
        <w:t>STATEMENT OF ESTIMATED FISCAL IMPACT</w:t>
      </w:r>
    </w:p>
    <w:p w:rsidR="004D3EFA" w:rsidRPr="0066211C" w:rsidRDefault="004D3EFA" w:rsidP="004D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GENERAL FUND EXPENDITURES:</w:t>
      </w:r>
    </w:p>
    <w:p w:rsidR="004D3EFA" w:rsidRPr="0066211C" w:rsidRDefault="004D3EFA" w:rsidP="004D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6211C">
        <w:rPr>
          <w:szCs w:val="22"/>
        </w:rPr>
        <w:t>$0 (No additional expenditures or savings are expected)</w:t>
      </w:r>
    </w:p>
    <w:p w:rsidR="004D3EFA" w:rsidRPr="0066211C" w:rsidRDefault="004D3EFA" w:rsidP="004D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6211C">
        <w:rPr>
          <w:szCs w:val="22"/>
        </w:rPr>
        <w:t>ESTIMATED FISCAL IMPACT ON FEDERAL &amp; OTHER FUND EXPENDITURES:</w:t>
      </w:r>
    </w:p>
    <w:p w:rsidR="004D3EFA" w:rsidRPr="0066211C" w:rsidRDefault="004D3EFA" w:rsidP="004D3EF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6211C">
        <w:rPr>
          <w:szCs w:val="22"/>
        </w:rPr>
        <w:t>$0 (No additional expenditures or savings are expected)</w:t>
      </w:r>
      <w:bookmarkStart w:id="2" w:name="c"/>
      <w:bookmarkEnd w:id="2"/>
    </w:p>
    <w:p w:rsidR="004D3EFA" w:rsidRPr="0066211C" w:rsidRDefault="004D3EFA" w:rsidP="004D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6211C">
        <w:rPr>
          <w:b/>
          <w:szCs w:val="22"/>
        </w:rPr>
        <w:t>EXPLANATION OF IMPACT:</w:t>
      </w:r>
    </w:p>
    <w:p w:rsidR="004D3EFA" w:rsidRPr="0066211C" w:rsidRDefault="004D3EFA" w:rsidP="004D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211C">
        <w:rPr>
          <w:szCs w:val="22"/>
        </w:rPr>
        <w:t xml:space="preserve">The Department of Insurance estimates this </w:t>
      </w:r>
      <w:r>
        <w:rPr>
          <w:szCs w:val="22"/>
        </w:rPr>
        <w:t>b</w:t>
      </w:r>
      <w:r w:rsidRPr="0066211C">
        <w:rPr>
          <w:szCs w:val="22"/>
        </w:rPr>
        <w:t xml:space="preserve">ill will have no fiscal impact on the </w:t>
      </w:r>
      <w:r>
        <w:rPr>
          <w:szCs w:val="22"/>
        </w:rPr>
        <w:t>s</w:t>
      </w:r>
      <w:r w:rsidRPr="0066211C">
        <w:rPr>
          <w:szCs w:val="22"/>
        </w:rPr>
        <w:t xml:space="preserve">tate </w:t>
      </w:r>
      <w:r>
        <w:rPr>
          <w:szCs w:val="22"/>
        </w:rPr>
        <w:t>g</w:t>
      </w:r>
      <w:r w:rsidRPr="0066211C">
        <w:rPr>
          <w:szCs w:val="22"/>
        </w:rPr>
        <w:t xml:space="preserve">eneral </w:t>
      </w:r>
      <w:r>
        <w:rPr>
          <w:szCs w:val="22"/>
        </w:rPr>
        <w:t>f</w:t>
      </w:r>
      <w:r w:rsidRPr="0066211C">
        <w:rPr>
          <w:szCs w:val="22"/>
        </w:rPr>
        <w:t xml:space="preserve">und or on </w:t>
      </w:r>
      <w:r>
        <w:rPr>
          <w:szCs w:val="22"/>
        </w:rPr>
        <w:t>f</w:t>
      </w:r>
      <w:r w:rsidRPr="0066211C">
        <w:rPr>
          <w:szCs w:val="22"/>
        </w:rPr>
        <w:t xml:space="preserve">ederal and/or </w:t>
      </w:r>
      <w:r>
        <w:rPr>
          <w:szCs w:val="22"/>
        </w:rPr>
        <w:t>o</w:t>
      </w:r>
      <w:r w:rsidRPr="0066211C">
        <w:rPr>
          <w:szCs w:val="22"/>
        </w:rPr>
        <w:t>ther</w:t>
      </w:r>
      <w:r>
        <w:rPr>
          <w:szCs w:val="22"/>
        </w:rPr>
        <w:t xml:space="preserve"> f</w:t>
      </w:r>
      <w:r w:rsidRPr="0066211C">
        <w:rPr>
          <w:szCs w:val="22"/>
        </w:rPr>
        <w:t>unds.</w:t>
      </w:r>
    </w:p>
    <w:p w:rsidR="004D3EFA" w:rsidRDefault="004D3EFA" w:rsidP="002A3EB4">
      <w:pPr>
        <w:pStyle w:val="BillDots"/>
      </w:pPr>
    </w:p>
    <w:p w:rsidR="004D3EFA" w:rsidRDefault="004D3EFA" w:rsidP="004D3EF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D3EFA" w:rsidRDefault="004D3EFA" w:rsidP="004D3EFA">
      <w:pPr>
        <w:pStyle w:val="BillDots"/>
        <w:tabs>
          <w:tab w:val="clear" w:pos="216"/>
          <w:tab w:val="clear" w:pos="432"/>
          <w:tab w:val="clear" w:pos="648"/>
          <w:tab w:val="clear" w:pos="864"/>
          <w:tab w:val="clear" w:pos="1080"/>
          <w:tab w:val="clear" w:pos="1296"/>
          <w:tab w:val="clear" w:pos="5904"/>
          <w:tab w:val="left" w:pos="3024"/>
        </w:tabs>
      </w:pPr>
      <w:r>
        <w:tab/>
        <w:t>Brenda Hart</w:t>
      </w:r>
    </w:p>
    <w:p w:rsidR="004D3EFA" w:rsidRPr="004D3EFA" w:rsidRDefault="004D3EFA" w:rsidP="004D3EF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D3EFA" w:rsidRDefault="004D3EFA" w:rsidP="002A3EB4">
      <w:pPr>
        <w:pStyle w:val="BillDots"/>
      </w:pPr>
    </w:p>
    <w:p w:rsidR="004D3EFA" w:rsidRDefault="004D3EFA" w:rsidP="002A3EB4">
      <w:pPr>
        <w:pStyle w:val="BillDots"/>
        <w:sectPr w:rsidR="004D3EFA" w:rsidSect="004D3E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9C19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t>TO AMEND SECTION 38</w:t>
      </w:r>
      <w:r>
        <w:noBreakHyphen/>
        <w:t>71</w:t>
      </w:r>
      <w:r>
        <w:noBreakHyphen/>
        <w:t>1730, CODE OF LAWS OF SOUTH CAROLINA, 1976, RELATING TO CLOSED PANEL HEALTH PLANS, SO AS TO REMOVE THE REQUIREMENT THAT CERTAIN EMPLOYERS THAT OFFER ONLY CLOSED PANEL HEALTH PLANS TO ITS EMPLOYEES ALSO OFFER A POINT</w:t>
      </w:r>
      <w:r>
        <w:noBreakHyphen/>
        <w:t>OF</w:t>
      </w:r>
      <w:r>
        <w:noBreakHyphen/>
        <w:t>SERVICE OPTION TO ITS EMPLOYEES, TO MAKE CONFORMING CHANGES, AND TO INCREASE THE ALLOWABLE DIFFERENCES BETWEEN COINSURANCE PERCENTAGES FOR IN</w:t>
      </w:r>
      <w:r>
        <w:noBreakHyphen/>
        <w:t>NETWORK AND OUT</w:t>
      </w:r>
      <w:r>
        <w:noBreakHyphen/>
        <w:t>OF</w:t>
      </w:r>
      <w:r>
        <w:noBreakHyphen/>
        <w:t>NETWORK COVERED SERVICES AND SUPPLIES UNDER A POINT</w:t>
      </w:r>
      <w:r>
        <w:noBreakHyphen/>
        <w:t>OF</w:t>
      </w:r>
      <w:r>
        <w:noBreakHyphen/>
        <w:t>SERVICE OPTION.</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Default="009C19D2"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5859">
        <w:t>Section 38</w:t>
      </w:r>
      <w:r w:rsidR="00625859">
        <w:noBreakHyphen/>
        <w:t>71</w:t>
      </w:r>
      <w:r w:rsidR="00625859">
        <w:noBreakHyphen/>
        <w:t>1730(A) of the 1976 Code is amended to read:</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625859" w:rsidRPr="00147BA1"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Pr>
          <w:strike/>
          <w:color w:val="000000"/>
        </w:rPr>
        <w:noBreakHyphen/>
      </w:r>
      <w:r w:rsidRPr="00147BA1">
        <w:rPr>
          <w:strike/>
          <w:color w:val="000000"/>
        </w:rPr>
        <w:t>of</w:t>
      </w:r>
      <w:r>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Pr>
          <w:strike/>
          <w:color w:val="000000"/>
        </w:rPr>
        <w:noBreakHyphen/>
      </w:r>
      <w:r w:rsidRPr="00147BA1">
        <w:rPr>
          <w:strike/>
          <w:color w:val="000000"/>
        </w:rPr>
        <w:t>of</w:t>
      </w:r>
      <w:r>
        <w:rPr>
          <w:strike/>
          <w:color w:val="000000"/>
        </w:rPr>
        <w:noBreakHyphen/>
      </w:r>
      <w:r w:rsidRPr="00147BA1">
        <w:rPr>
          <w:strike/>
          <w:color w:val="000000"/>
        </w:rPr>
        <w:t xml:space="preserve">service option.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Pr="00147BA1">
        <w:rPr>
          <w:strike/>
          <w:color w:val="000000"/>
        </w:rPr>
        <w:t>(2)</w:t>
      </w:r>
      <w:r>
        <w:rPr>
          <w:color w:val="000000"/>
        </w:rPr>
        <w:tab/>
      </w:r>
      <w:r w:rsidRPr="00497545">
        <w:rPr>
          <w:color w:val="000000"/>
        </w:rPr>
        <w:t>An employer may require an employee who chooses a point</w:t>
      </w:r>
      <w:r>
        <w:rPr>
          <w:color w:val="000000"/>
        </w:rPr>
        <w:noBreakHyphen/>
      </w:r>
      <w:r w:rsidRPr="00497545">
        <w:rPr>
          <w:color w:val="000000"/>
        </w:rPr>
        <w:t>of</w:t>
      </w:r>
      <w:r>
        <w:rPr>
          <w:color w:val="000000"/>
        </w:rPr>
        <w:noBreakHyphen/>
      </w:r>
      <w:r w:rsidRPr="00497545">
        <w:rPr>
          <w:color w:val="000000"/>
        </w:rPr>
        <w:t xml:space="preserve">service option to be responsible for payment of premiums, </w:t>
      </w:r>
      <w:r w:rsidRPr="00497545">
        <w:rPr>
          <w:color w:val="000000"/>
        </w:rPr>
        <w:lastRenderedPageBreak/>
        <w:t xml:space="preserve">deductibles, copayments, or other payments in excess of the benefits provided by the closed panel health plan.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network covered health care services or supplies in a point</w:t>
      </w:r>
      <w:r>
        <w:rPr>
          <w:color w:val="000000"/>
        </w:rPr>
        <w:noBreakHyphen/>
      </w:r>
      <w:r w:rsidRPr="00497545">
        <w:rPr>
          <w:color w:val="000000"/>
        </w:rPr>
        <w:t>of</w:t>
      </w:r>
      <w:r>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 xml:space="preserve">network covered health care services or supplies provided by dentists may not exceed a maximum difference of five percent.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Pr>
          <w:color w:val="000000"/>
        </w:rPr>
        <w:noBreakHyphen/>
      </w:r>
      <w:r w:rsidRPr="00497545">
        <w:rPr>
          <w:color w:val="000000"/>
        </w:rPr>
        <w:t>of</w:t>
      </w:r>
      <w:r>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Pr>
          <w:color w:val="000000"/>
        </w:rPr>
        <w:noBreakHyphen/>
      </w:r>
      <w:r w:rsidRPr="00497545">
        <w:rPr>
          <w:color w:val="000000"/>
        </w:rPr>
        <w:t>by</w:t>
      </w:r>
      <w:r>
        <w:rPr>
          <w:color w:val="000000"/>
        </w:rPr>
        <w:noBreakHyphen/>
      </w:r>
      <w:r w:rsidRPr="00497545">
        <w:rPr>
          <w:color w:val="000000"/>
        </w:rPr>
        <w:t xml:space="preserve">case basis.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Pr>
          <w:color w:val="000000"/>
        </w:rPr>
        <w:noBreakHyphen/>
      </w:r>
      <w:r w:rsidRPr="00497545">
        <w:rPr>
          <w:color w:val="000000"/>
        </w:rPr>
        <w:t>6 may provide professional services under the advanced practice nurse</w:t>
      </w:r>
      <w:r w:rsidRPr="00A845D7">
        <w:rPr>
          <w:color w:val="000000"/>
        </w:rPr>
        <w:t>’</w:t>
      </w:r>
      <w:r w:rsidRPr="00497545">
        <w:rPr>
          <w:color w:val="000000"/>
        </w:rPr>
        <w:t>s scope of practice so long as the services provided are pursuant to protocols by a medical doctor with whom the patient has an established physician</w:t>
      </w:r>
      <w:r>
        <w:rPr>
          <w:color w:val="000000"/>
        </w:rPr>
        <w:noBreakHyphen/>
      </w:r>
      <w:r w:rsidRPr="00497545">
        <w:rPr>
          <w:color w:val="000000"/>
        </w:rPr>
        <w:t>patient relationship.  A point</w:t>
      </w:r>
      <w:r>
        <w:rPr>
          <w:color w:val="000000"/>
        </w:rPr>
        <w:noBreakHyphen/>
      </w:r>
      <w:r w:rsidRPr="00497545">
        <w:rPr>
          <w:color w:val="000000"/>
        </w:rPr>
        <w:t>of</w:t>
      </w:r>
      <w:r>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Pr>
          <w:color w:val="000000"/>
        </w:rPr>
        <w:noBreakHyphen/>
      </w:r>
      <w:r w:rsidRPr="00497545">
        <w:rPr>
          <w:color w:val="000000"/>
        </w:rPr>
        <w:t>funded health insurance program;  and this article does not affect the right of an employer to specify plan design or affect the right of a plan to credential or re</w:t>
      </w:r>
      <w:r>
        <w:rPr>
          <w:color w:val="000000"/>
        </w:rPr>
        <w:noBreakHyphen/>
      </w:r>
      <w:r w:rsidRPr="00497545">
        <w:rPr>
          <w:color w:val="000000"/>
        </w:rPr>
        <w:t>credential a provider.  Nothing contained in this article affects accident</w:t>
      </w:r>
      <w:r>
        <w:rPr>
          <w:color w:val="000000"/>
        </w:rPr>
        <w:noBreakHyphen/>
      </w:r>
      <w:r w:rsidRPr="00497545">
        <w:rPr>
          <w:color w:val="000000"/>
        </w:rPr>
        <w:t>only, blanket accident and sickness, specified disease, credit, Medicare supplement, long</w:t>
      </w:r>
      <w:r>
        <w:rPr>
          <w:color w:val="000000"/>
        </w:rPr>
        <w:noBreakHyphen/>
      </w:r>
      <w:r w:rsidRPr="00497545">
        <w:rPr>
          <w:color w:val="000000"/>
        </w:rPr>
        <w:t>term care, or disability income insurance, coverage issued as a supplement to liability or other insurance coverage designed solely to provide payments on a per diem, fixed</w:t>
      </w:r>
      <w:r>
        <w:rPr>
          <w:color w:val="000000"/>
        </w:rPr>
        <w:noBreakHyphen/>
      </w:r>
      <w:r w:rsidRPr="00497545">
        <w:rPr>
          <w:color w:val="000000"/>
        </w:rPr>
        <w:t>indemnity, or nonexpense incurred basis, coverage for Medicare or Medicaid services pursuant to a contract with state or federal government, worker</w:t>
      </w:r>
      <w:r w:rsidRPr="00A845D7">
        <w:rPr>
          <w:color w:val="000000"/>
        </w:rPr>
        <w:t>’</w:t>
      </w:r>
      <w:r w:rsidRPr="00497545">
        <w:rPr>
          <w:color w:val="000000"/>
        </w:rPr>
        <w:t>s compensation or similar insurance, or automobile medical payment insurance.</w:t>
      </w:r>
      <w:r>
        <w:rPr>
          <w:color w:val="000000"/>
        </w:rPr>
        <w:t>”</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forty</w:t>
      </w:r>
      <w:r>
        <w:noBreakHyphen/>
        <w:t>five days after approval by the Governor.</w:t>
      </w:r>
    </w:p>
    <w:p w:rsidR="00EF0B79" w:rsidRDefault="0010776B" w:rsidP="00A61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B79" w:rsidRDefault="00EF0B79" w:rsidP="00360E60">
      <w:pPr>
        <w:suppressAutoHyphens/>
      </w:pPr>
    </w:p>
    <w:sectPr w:rsidR="00EF0B79" w:rsidSect="004D3E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9D2" w:rsidRDefault="009C19D2" w:rsidP="009F0C77">
      <w:r>
        <w:separator/>
      </w:r>
    </w:p>
  </w:endnote>
  <w:endnote w:type="continuationSeparator" w:id="0">
    <w:p w:rsidR="009C19D2" w:rsidRDefault="009C19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7B08B-607B-4942-9F07-DA17F951B824}"/>
    <w:embedBold r:id="rId2" w:fontKey="{4909E92B-AEA5-40FF-8BC5-CCD9B084D6AC}"/>
    <w:embedItalic r:id="rId3" w:fontKey="{A1FEC85F-5873-4D0A-9942-26D28C5E5B43}"/>
  </w:font>
  <w:font w:name="Calibri">
    <w:panose1 w:val="020F0502020204030204"/>
    <w:charset w:val="00"/>
    <w:family w:val="swiss"/>
    <w:pitch w:val="variable"/>
    <w:sig w:usb0="E10002FF" w:usb1="4000ACFF" w:usb2="00000009" w:usb3="00000000" w:csb0="0000019F" w:csb1="00000000"/>
    <w:embedRegular r:id="rId4" w:fontKey="{91492221-4B07-4752-9343-ECE70E7390AE}"/>
  </w:font>
  <w:font w:name="Cambria">
    <w:panose1 w:val="02040503050406030204"/>
    <w:charset w:val="00"/>
    <w:family w:val="roman"/>
    <w:pitch w:val="variable"/>
    <w:sig w:usb0="E00002FF" w:usb1="400004FF" w:usb2="00000000" w:usb3="00000000" w:csb0="0000019F" w:csb1="00000000"/>
    <w:embedRegular r:id="rId5" w:fontKey="{2A2149A4-AC3E-4637-B37E-91F8904E80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C80" w:rsidRPr="00EF0B79" w:rsidRDefault="00EF0B79" w:rsidP="00EF0B79">
    <w:pPr>
      <w:pStyle w:val="Footer"/>
      <w:tabs>
        <w:tab w:val="clear" w:pos="4680"/>
        <w:tab w:val="clear" w:pos="9360"/>
        <w:tab w:val="center" w:pos="2995"/>
      </w:tabs>
      <w:spacing w:before="120"/>
    </w:pPr>
    <w:r>
      <w:t>[530</w:t>
    </w:r>
    <w:r w:rsidR="004D3EFA">
      <w:t>-</w:t>
    </w:r>
    <w:fldSimple w:instr=" PAGE  \* MERGEFORMAT ">
      <w:r w:rsidR="00360E60">
        <w:rPr>
          <w:noProof/>
        </w:rPr>
        <w:t>1</w:t>
      </w:r>
    </w:fldSimple>
    <w:r w:rsidR="004D3E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EFA" w:rsidRPr="00EF0B79" w:rsidRDefault="004D3EFA" w:rsidP="00EF0B79">
    <w:pPr>
      <w:pStyle w:val="Footer"/>
      <w:tabs>
        <w:tab w:val="clear" w:pos="4680"/>
        <w:tab w:val="clear" w:pos="9360"/>
        <w:tab w:val="center" w:pos="2995"/>
      </w:tabs>
      <w:spacing w:before="120"/>
    </w:pPr>
    <w:r>
      <w:t>[530]</w:t>
    </w:r>
    <w:r>
      <w:tab/>
    </w:r>
    <w:fldSimple w:instr=" PAGE  \* MERGEFORMAT ">
      <w:r w:rsidR="00360E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9D2" w:rsidRDefault="009C19D2" w:rsidP="009F0C77">
      <w:r>
        <w:separator/>
      </w:r>
    </w:p>
  </w:footnote>
  <w:footnote w:type="continuationSeparator" w:id="0">
    <w:p w:rsidR="009C19D2" w:rsidRDefault="009C19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58AB13"/>
    <w:docVar w:name="CoverBillType" w:val="b"/>
    <w:docVar w:name="docpath" w:val="L:\Council\bills\MS\7158AB13.DOCX"/>
    <w:docVar w:name="dvBillNumber" w:val="530"/>
    <w:docVar w:name="dvBillNumberPrefix" w:val="S. "/>
    <w:docVar w:name="dvOriginalBody" w:val="Senate"/>
    <w:docVar w:name="dvSteno" w:val="MS"/>
    <w:docVar w:name="NameofBody" w:val="s"/>
    <w:docVar w:name="vgroup2" w:val="Council"/>
  </w:docVars>
  <w:rsids>
    <w:rsidRoot w:val="000B22F3"/>
    <w:rsid w:val="00026C9A"/>
    <w:rsid w:val="000965A1"/>
    <w:rsid w:val="000B22F3"/>
    <w:rsid w:val="000E1785"/>
    <w:rsid w:val="000F39F2"/>
    <w:rsid w:val="001023A4"/>
    <w:rsid w:val="0010776B"/>
    <w:rsid w:val="00133E66"/>
    <w:rsid w:val="00134ACF"/>
    <w:rsid w:val="00144E15"/>
    <w:rsid w:val="001572B3"/>
    <w:rsid w:val="00180C80"/>
    <w:rsid w:val="0019368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E60"/>
    <w:rsid w:val="00393688"/>
    <w:rsid w:val="003A1E2B"/>
    <w:rsid w:val="003D411E"/>
    <w:rsid w:val="003E3C1E"/>
    <w:rsid w:val="003E6148"/>
    <w:rsid w:val="00400EAA"/>
    <w:rsid w:val="0041760A"/>
    <w:rsid w:val="004809EE"/>
    <w:rsid w:val="004D3EFA"/>
    <w:rsid w:val="00511EE9"/>
    <w:rsid w:val="00521E00"/>
    <w:rsid w:val="00523F1E"/>
    <w:rsid w:val="00577C6C"/>
    <w:rsid w:val="0058501B"/>
    <w:rsid w:val="006215AA"/>
    <w:rsid w:val="0062585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530EF"/>
    <w:rsid w:val="00871EC8"/>
    <w:rsid w:val="00872729"/>
    <w:rsid w:val="008F4429"/>
    <w:rsid w:val="00932670"/>
    <w:rsid w:val="009352BB"/>
    <w:rsid w:val="00945807"/>
    <w:rsid w:val="00990668"/>
    <w:rsid w:val="009C19D2"/>
    <w:rsid w:val="009F0C77"/>
    <w:rsid w:val="009F4DD1"/>
    <w:rsid w:val="00A61EB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5C4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B79"/>
    <w:rsid w:val="00EF3EEE"/>
    <w:rsid w:val="00F06C61"/>
    <w:rsid w:val="00F149A7"/>
    <w:rsid w:val="00F21F8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45B4A-6961-4408-9007-FFFD9C9A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952</Words>
  <Characters>5229</Characters>
  <Application>Microsoft Office Word</Application>
  <DocSecurity>0</DocSecurity>
  <Lines>149</Lines>
  <Paragraphs>44</Paragraphs>
  <ScaleCrop>false</ScaleCrop>
  <Company> </Company>
  <LinksUpToDate>false</LinksUpToDate>
  <CharactersWithSpaces>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dcterms:created xsi:type="dcterms:W3CDTF">2013-04-10T23:02:00Z</dcterms:created>
  <dcterms:modified xsi:type="dcterms:W3CDTF">2013-04-10T23:02:00Z</dcterms:modified>
</cp:coreProperties>
</file>