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683"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1F" w:rsidRPr="008C051F" w:rsidRDefault="008C051F" w:rsidP="008C051F">
      <w:pPr>
        <w:tabs>
          <w:tab w:val="right" w:pos="5933"/>
        </w:tabs>
        <w:suppressAutoHyphens/>
      </w:pPr>
      <w:r>
        <w:tab/>
      </w:r>
      <w:r>
        <w:rPr>
          <w:b/>
          <w:sz w:val="36"/>
        </w:rPr>
        <w:t>S. 1016</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Jackson, J. Matthews, Campbell, Davis, Scott, Turner, Rankin, Alexander and McElveen</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4/27/16--H.</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2016.</w:t>
      </w:r>
    </w:p>
    <w:p w:rsidR="008C051F" w:rsidRPr="008C051F" w:rsidRDefault="008C051F" w:rsidP="008C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1F" w:rsidRPr="008C051F" w:rsidRDefault="008C051F" w:rsidP="008C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C051F">
        <w:rPr>
          <w:b/>
          <w:szCs w:val="22"/>
        </w:rPr>
        <w:t>Fiscal Impact Summary</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C051F">
        <w:rPr>
          <w:rFonts w:eastAsiaTheme="minorHAnsi" w:cstheme="minorBidi"/>
          <w:szCs w:val="22"/>
        </w:rPr>
        <w:tab/>
        <w:t>This bill would increase general fund expenditures by $185,440 in FY 2016-17 and $166,162 in FY 2017-18. This bill would have no expenditure impact on federal funds or other funds.</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C051F">
        <w:rPr>
          <w:b/>
          <w:szCs w:val="22"/>
        </w:rPr>
        <w:t>Explanation of Fiscal Impact</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C051F">
        <w:rPr>
          <w:b/>
          <w:szCs w:val="22"/>
        </w:rPr>
        <w:t>State Expenditure</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C051F">
        <w:rPr>
          <w:rFonts w:eastAsiaTheme="minorHAnsi" w:cstheme="minorBidi"/>
          <w:szCs w:val="22"/>
        </w:rPr>
        <w:tab/>
        <w:t xml:space="preserve">This bill amends Title 44 by adding Chapter 45 known as the Eye Care Consumer Protection Law. The bill requires the Department of Health and Environmental Control to regulate the dispensing of prescription eyewear.  The bill defines the term kiosk and specifies requirements for the proper use of automated visual diagnostic equipment. The bill requires the Department of Health and Environmental Control to enforce this </w:t>
      </w:r>
      <w:r w:rsidR="00B60384">
        <w:rPr>
          <w:rFonts w:eastAsiaTheme="minorHAnsi" w:cstheme="minorBidi"/>
          <w:szCs w:val="22"/>
        </w:rPr>
        <w:t>c</w:t>
      </w:r>
      <w:r w:rsidRPr="008C051F">
        <w:rPr>
          <w:rFonts w:eastAsiaTheme="minorHAnsi" w:cstheme="minorBidi"/>
          <w:szCs w:val="22"/>
        </w:rPr>
        <w:t>hapter through complaint investigations and hearing procedures. The bill specifies fines and other penalties for violations and provides that the violator’s licensing board shall retain all assessed fines and determine disciplinary actions.</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C051F">
        <w:rPr>
          <w:rFonts w:eastAsiaTheme="minorHAnsi" w:cstheme="minorBidi"/>
          <w:b/>
          <w:szCs w:val="22"/>
        </w:rPr>
        <w:t xml:space="preserve">Department of Health and Environmental Control. </w:t>
      </w:r>
      <w:r w:rsidRPr="008C051F">
        <w:rPr>
          <w:rFonts w:eastAsiaTheme="minorHAnsi" w:cstheme="minorBidi"/>
          <w:szCs w:val="22"/>
        </w:rPr>
        <w:t>The department estimates that this new regulatory program would require one investigator, one administrative assistant, and one licensed practical nurse. First year costs are estimated at $185,440 (including $145,529 for salaries and fringes, $20,633 for operating costs, and $19,278 for the one-time purchase of office equipment and investigative training). Subsequently, annual operating expenditures are estimated at $166,162.</w:t>
      </w:r>
    </w:p>
    <w:p w:rsidR="008C051F" w:rsidRPr="008C051F" w:rsidRDefault="008C051F" w:rsidP="00B6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C051F">
        <w:rPr>
          <w:rFonts w:eastAsiaTheme="minorHAnsi" w:cstheme="minorBidi"/>
          <w:b/>
          <w:szCs w:val="22"/>
        </w:rPr>
        <w:t xml:space="preserve">Department of Labor, Licensing and Regulation. </w:t>
      </w:r>
      <w:r w:rsidRPr="008C051F">
        <w:rPr>
          <w:rFonts w:eastAsiaTheme="minorHAnsi" w:cstheme="minorBidi"/>
          <w:szCs w:val="22"/>
        </w:rPr>
        <w:t xml:space="preserve">The department reports that this bill would have no expenditure impact on the general fund, federal funds, or other funds. Minimal expenditures </w:t>
      </w:r>
      <w:r w:rsidRPr="008C051F">
        <w:rPr>
          <w:rFonts w:eastAsiaTheme="minorHAnsi" w:cstheme="minorBidi"/>
          <w:szCs w:val="22"/>
        </w:rPr>
        <w:lastRenderedPageBreak/>
        <w:t>are anticipated but these would be absorbed using available resources.</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051F" w:rsidRP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51F" w:rsidRDefault="008C051F"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051F" w:rsidSect="008176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075" w:rsidRDefault="00435075"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62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7C9">
        <w:rPr>
          <w:color w:val="000000" w:themeColor="text1"/>
          <w:u w:color="000000" w:themeColor="text1"/>
        </w:rPr>
        <w:t xml:space="preserve">TO AMEND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1"/>
    </w:p>
    <w:p w:rsidR="00B7071C" w:rsidRDefault="00B70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C1DBC">
        <w:rPr>
          <w:color w:val="000000" w:themeColor="text1"/>
          <w:u w:color="000000" w:themeColor="text1"/>
        </w:rPr>
        <w:t>SECTION</w:t>
      </w:r>
      <w:r w:rsidRPr="000C1DBC">
        <w:rPr>
          <w:color w:val="000000" w:themeColor="text1"/>
          <w:u w:color="000000" w:themeColor="text1"/>
        </w:rPr>
        <w:tab/>
        <w:t>1.</w:t>
      </w:r>
      <w:r w:rsidRPr="000C1DBC">
        <w:rPr>
          <w:color w:val="000000" w:themeColor="text1"/>
          <w:u w:color="000000" w:themeColor="text1"/>
        </w:rPr>
        <w:tab/>
        <w:t>Title 40 of the 1976 Code is amended by adding:</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DBC">
        <w:rPr>
          <w:color w:val="000000" w:themeColor="text1"/>
          <w:u w:color="000000" w:themeColor="text1"/>
        </w:rPr>
        <w:t xml:space="preserve">“CHAPTER 24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DBC">
        <w:rPr>
          <w:color w:val="000000" w:themeColor="text1"/>
          <w:u w:color="000000" w:themeColor="text1"/>
        </w:rPr>
        <w:t>Eye Care Consumer Protection</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Section 40</w:t>
      </w:r>
      <w:r w:rsidRPr="000C1DBC">
        <w:rPr>
          <w:color w:val="000000" w:themeColor="text1"/>
          <w:u w:color="000000" w:themeColor="text1"/>
        </w:rPr>
        <w:noBreakHyphen/>
        <w:t>24</w:t>
      </w:r>
      <w:r w:rsidRPr="000C1DBC">
        <w:rPr>
          <w:color w:val="000000" w:themeColor="text1"/>
          <w:u w:color="000000" w:themeColor="text1"/>
        </w:rPr>
        <w:noBreakHyphen/>
        <w:t>10. For purposes of this chapter:</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(1)</w:t>
      </w:r>
      <w:r w:rsidRPr="000C1DBC">
        <w:rPr>
          <w:color w:val="000000" w:themeColor="text1"/>
          <w:u w:color="000000" w:themeColor="text1"/>
        </w:rPr>
        <w:tab/>
        <w:t xml:space="preserve">‘Contact lenses’ means a lens placed directly on the surface of the eye, regardless of whether it is intended to correct a visual defect, and includes, but is not limited to, cosmetic, therapeutic, and corrective lenses.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(2)</w:t>
      </w:r>
      <w:r w:rsidRPr="000C1DBC">
        <w:rPr>
          <w:color w:val="000000" w:themeColor="text1"/>
          <w:u w:color="000000" w:themeColor="text1"/>
        </w:rPr>
        <w:tab/>
        <w:t xml:space="preserve">‘Dispense’ means the act of providing a pair of spectacles or contact lenses to a patient.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(3)</w:t>
      </w:r>
      <w:r w:rsidRPr="000C1DBC">
        <w:rPr>
          <w:color w:val="000000" w:themeColor="text1"/>
          <w:u w:color="000000" w:themeColor="text1"/>
        </w:rPr>
        <w:tab/>
        <w:t xml:space="preserve">‘Eye examination’ means an assessment of all or a portion of the ocular health profile, which must include a complete written or electronic medical history, as well as an assessment of the visual status of a patient.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(4)</w:t>
      </w:r>
      <w:r w:rsidRPr="000C1DBC">
        <w:rPr>
          <w:color w:val="000000" w:themeColor="text1"/>
          <w:u w:color="000000" w:themeColor="text1"/>
        </w:rPr>
        <w:tab/>
        <w:t>‘Kiosk’ means automated equipment or an automated application, which is designed to be used on a phone, computer, or internet</w:t>
      </w:r>
      <w:r w:rsidRPr="000C1DBC">
        <w:rPr>
          <w:color w:val="000000" w:themeColor="text1"/>
          <w:u w:color="000000" w:themeColor="text1"/>
        </w:rPr>
        <w:noBreakHyphen/>
        <w:t xml:space="preserve">based device that can be used in person or remotely to provide refractive data or information.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lastRenderedPageBreak/>
        <w:tab/>
        <w:t>(5)</w:t>
      </w:r>
      <w:r w:rsidRPr="000C1DBC">
        <w:rPr>
          <w:color w:val="000000" w:themeColor="text1"/>
          <w:u w:color="000000" w:themeColor="text1"/>
        </w:rPr>
        <w:tab/>
        <w:t xml:space="preserve">‘Patient’ means a person who submits to an eye examination in this State.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(6)</w:t>
      </w:r>
      <w:r w:rsidRPr="000C1DBC">
        <w:rPr>
          <w:color w:val="000000" w:themeColor="text1"/>
          <w:u w:color="000000" w:themeColor="text1"/>
        </w:rPr>
        <w:tab/>
        <w:t xml:space="preserve">‘Prescription’ means a provider’s handwritten or electronic order to correct refractive error that is based on an eye examination.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(7)</w:t>
      </w:r>
      <w:r w:rsidRPr="000C1DBC">
        <w:rPr>
          <w:color w:val="000000" w:themeColor="text1"/>
          <w:u w:color="000000" w:themeColor="text1"/>
        </w:rPr>
        <w:tab/>
        <w:t xml:space="preserve">‘Provider’ means an individual licensed by the South Carolina Board of Examiners in Optometry or the South Carolina Board of Medical Examiners. </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(8)</w:t>
      </w:r>
      <w:r w:rsidRPr="000C1DBC">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0C1DBC">
        <w:rPr>
          <w:color w:val="000000" w:themeColor="text1"/>
          <w:u w:color="000000" w:themeColor="text1"/>
        </w:rPr>
        <w:noBreakHyphen/>
        <w:t>the</w:t>
      </w:r>
      <w:r w:rsidRPr="000C1DBC">
        <w:rPr>
          <w:color w:val="000000" w:themeColor="text1"/>
          <w:u w:color="000000" w:themeColor="text1"/>
        </w:rPr>
        <w:noBreakHyphen/>
        <w:t xml:space="preserve">counter spectacles not intended to correct or enhance vision or sold without consideration of the visual status of the individual using the spectacles.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t xml:space="preserve">‘Visual status’ means the assessment of the visual acuity, accommodation amplitudes at the discretion of the provider,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refractive-only testing device, to provide a medical diagnosis or to establish a refractive error for a patient as part of an eye examination. </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Section 40</w:t>
      </w:r>
      <w:r w:rsidRPr="000C1DBC">
        <w:rPr>
          <w:color w:val="000000" w:themeColor="text1"/>
          <w:u w:color="000000" w:themeColor="text1"/>
        </w:rPr>
        <w:noBreakHyphen/>
        <w:t>24</w:t>
      </w:r>
      <w:r w:rsidRPr="000C1DBC">
        <w:rPr>
          <w:color w:val="000000" w:themeColor="text1"/>
          <w:u w:color="000000" w:themeColor="text1"/>
        </w:rPr>
        <w:noBreakHyphen/>
        <w:t>20.</w:t>
      </w:r>
      <w:r w:rsidRPr="000C1DBC">
        <w:rPr>
          <w:color w:val="000000" w:themeColor="text1"/>
          <w:u w:color="000000" w:themeColor="text1"/>
        </w:rPr>
        <w:tab/>
        <w:t>(A)</w:t>
      </w:r>
      <w:r w:rsidRPr="000C1DBC">
        <w:rPr>
          <w:color w:val="000000" w:themeColor="text1"/>
          <w:u w:color="000000" w:themeColor="text1"/>
        </w:rPr>
        <w:tab/>
        <w:t xml:space="preserve">A person in this State may not dispense spectacles or contact lenses to a patient without a valid prescription from a provider. </w:t>
      </w:r>
    </w:p>
    <w:p w:rsidR="00B7071C" w:rsidRPr="000C1DB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(B)</w:t>
      </w:r>
      <w:r w:rsidRPr="000C1DBC">
        <w:rPr>
          <w:color w:val="000000" w:themeColor="text1"/>
          <w:u w:color="000000" w:themeColor="text1"/>
        </w:rPr>
        <w:tab/>
        <w:t xml:space="preserve">To be valid, a prescription must contain an expiration date on spectacles or contact lenses of one year from the date of examination by the provider or a statement of the reasons why a shorter time is appropriate based on the medical needs of the patient. The prescription must take into consideration medical findings made and refractive error discovered during the eye examination. </w:t>
      </w:r>
      <w:r>
        <w:rPr>
          <w:color w:val="000000" w:themeColor="text1"/>
          <w:u w:color="000000" w:themeColor="text1"/>
        </w:rPr>
        <w:t>If a provider determines a patient is a suitable candidate for a prescription for contact lenses or spectacles, a provider may not thereafter refuse to issue a prescription for spectacles or contact lenses to a patient.</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C">
        <w:rPr>
          <w:color w:val="000000" w:themeColor="text1"/>
          <w:u w:color="000000" w:themeColor="text1"/>
        </w:rPr>
        <w:tab/>
        <w:t>(C)</w:t>
      </w:r>
      <w:r w:rsidRPr="000C1DBC">
        <w:rPr>
          <w:color w:val="000000" w:themeColor="text1"/>
          <w:u w:color="000000" w:themeColor="text1"/>
        </w:rPr>
        <w:tab/>
        <w:t>A prescription for spectacles or contact lenses may not be based solely on the refractive eye error of the human eye or be generated by a kiosk.</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(D)</w:t>
      </w:r>
      <w:r>
        <w:rPr>
          <w:color w:val="000000" w:themeColor="text1"/>
          <w:u w:color="000000" w:themeColor="text1"/>
        </w:rPr>
        <w:tab/>
      </w:r>
      <w:r w:rsidRPr="00AD05A3">
        <w:t>Violation of this section constitutes misconduct as provided for in Sections 40</w:t>
      </w:r>
      <w:r w:rsidRPr="00AD05A3">
        <w:noBreakHyphen/>
        <w:t>37</w:t>
      </w:r>
      <w:r w:rsidRPr="00AD05A3">
        <w:noBreakHyphen/>
        <w:t>110 and 40</w:t>
      </w:r>
      <w:r w:rsidRPr="00AD05A3">
        <w:noBreakHyphen/>
        <w:t>47</w:t>
      </w:r>
      <w:r w:rsidRPr="00AD05A3">
        <w:noBreakHyphen/>
        <w:t>110. A provider who violates this section is subject to the penalties authorized in Chapter 37, Title 40 or Chapter 47, Title 40, as applicable.</w:t>
      </w:r>
      <w:r>
        <w:t>”</w:t>
      </w:r>
    </w:p>
    <w:p w:rsidR="00B7071C"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259" w:rsidRDefault="00B7071C" w:rsidP="00B70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This act takes effect upon approval by the Governor.</w:t>
      </w:r>
    </w:p>
    <w:p w:rsidR="001F1EEC" w:rsidRDefault="0010776B" w:rsidP="00BE7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05B8" w:rsidRDefault="00E705B8" w:rsidP="00E705B8">
      <w:pPr>
        <w:suppressAutoHyphens/>
      </w:pPr>
    </w:p>
    <w:sectPr w:rsidR="00E705B8" w:rsidSect="008176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344" w:rsidRDefault="00A82344" w:rsidP="009F0C77">
      <w:r>
        <w:separator/>
      </w:r>
    </w:p>
  </w:endnote>
  <w:endnote w:type="continuationSeparator" w:id="0">
    <w:p w:rsidR="00A82344" w:rsidRDefault="00A82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1C5E6E-E08C-4187-8949-54BCAA9C0A75}"/>
    <w:embedBold r:id="rId2" w:fontKey="{D99FC9E0-2681-4DE0-9E23-55A8527433A0}"/>
  </w:font>
  <w:font w:name="Calibri">
    <w:panose1 w:val="020F0502020204030204"/>
    <w:charset w:val="00"/>
    <w:family w:val="swiss"/>
    <w:pitch w:val="variable"/>
    <w:sig w:usb0="E00002FF" w:usb1="4000ACFF" w:usb2="00000001" w:usb3="00000000" w:csb0="0000019F" w:csb1="00000000"/>
    <w:embedRegular r:id="rId3" w:fontKey="{A1407B0E-C6E2-4B38-994C-C3AB86308E65}"/>
    <w:embedBold r:id="rId4" w:fontKey="{1017403E-DD69-4E02-B2CA-34995EAE6414}"/>
  </w:font>
  <w:font w:name="Segoe UI">
    <w:panose1 w:val="020B0502040204020203"/>
    <w:charset w:val="00"/>
    <w:family w:val="swiss"/>
    <w:pitch w:val="variable"/>
    <w:sig w:usb0="E10022FF" w:usb1="C000E47F" w:usb2="00000029" w:usb3="00000000" w:csb0="000001DF" w:csb1="00000000"/>
    <w:embedRegular r:id="rId5" w:fontKey="{F0124719-304F-4C58-994C-F50221B2A7A8}"/>
  </w:font>
  <w:font w:name="Cambria">
    <w:panose1 w:val="02040503050406030204"/>
    <w:charset w:val="00"/>
    <w:family w:val="roman"/>
    <w:pitch w:val="variable"/>
    <w:sig w:usb0="E00002FF" w:usb1="400004FF" w:usb2="00000000" w:usb3="00000000" w:csb0="0000019F" w:csb1="00000000"/>
    <w:embedRegular r:id="rId6" w:fontKey="{C3F59A20-7208-47BB-9144-5A3A6EA509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EEC" w:rsidRPr="00435075" w:rsidRDefault="00435075" w:rsidP="00435075">
    <w:pPr>
      <w:pStyle w:val="Footer"/>
      <w:tabs>
        <w:tab w:val="clear" w:pos="4680"/>
        <w:tab w:val="clear" w:pos="9360"/>
        <w:tab w:val="center" w:pos="2995"/>
      </w:tabs>
      <w:spacing w:before="120"/>
    </w:pPr>
    <w:r>
      <w:t>[1016</w:t>
    </w:r>
    <w:r w:rsidR="00817683">
      <w:t>-</w:t>
    </w:r>
    <w:r w:rsidR="00817683">
      <w:fldChar w:fldCharType="begin"/>
    </w:r>
    <w:r w:rsidR="00817683">
      <w:instrText xml:space="preserve"> PAGE  \* MERGEFORMAT </w:instrText>
    </w:r>
    <w:r w:rsidR="00817683">
      <w:fldChar w:fldCharType="separate"/>
    </w:r>
    <w:r w:rsidR="00E705B8">
      <w:rPr>
        <w:noProof/>
      </w:rPr>
      <w:t>2</w:t>
    </w:r>
    <w:r w:rsidR="00817683">
      <w:fldChar w:fldCharType="end"/>
    </w:r>
    <w:r w:rsidR="008176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683" w:rsidRPr="00435075" w:rsidRDefault="00817683" w:rsidP="00435075">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sidR="00E705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344" w:rsidRDefault="00A82344" w:rsidP="009F0C77">
      <w:r>
        <w:separator/>
      </w:r>
    </w:p>
  </w:footnote>
  <w:footnote w:type="continuationSeparator" w:id="0">
    <w:p w:rsidR="00A82344" w:rsidRDefault="00A82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2VR16"/>
    <w:docVar w:name="CoverBillType" w:val="b"/>
    <w:docVar w:name="docpath" w:val="L:\Council\bills\BH\26392VR16.DOCX"/>
    <w:docVar w:name="dvBillNumber" w:val="1016"/>
    <w:docVar w:name="dvBillNumberPrefix" w:val="S. "/>
    <w:docVar w:name="dvOriginalBody" w:val="Senate"/>
    <w:docVar w:name="dvSteno" w:val="BH"/>
    <w:docVar w:name="NameofBody" w:val="s"/>
    <w:docVar w:name="vgroup2" w:val="Council"/>
  </w:docVars>
  <w:rsids>
    <w:rsidRoot w:val="00866259"/>
    <w:rsid w:val="00026C9A"/>
    <w:rsid w:val="0003110A"/>
    <w:rsid w:val="000965A1"/>
    <w:rsid w:val="000E1785"/>
    <w:rsid w:val="000F39F2"/>
    <w:rsid w:val="001023A4"/>
    <w:rsid w:val="0010776B"/>
    <w:rsid w:val="00133E66"/>
    <w:rsid w:val="00134ACF"/>
    <w:rsid w:val="00144E15"/>
    <w:rsid w:val="001520F7"/>
    <w:rsid w:val="001A4A62"/>
    <w:rsid w:val="001A681E"/>
    <w:rsid w:val="001D08F2"/>
    <w:rsid w:val="001F1EEC"/>
    <w:rsid w:val="002037CA"/>
    <w:rsid w:val="002047A2"/>
    <w:rsid w:val="002321B6"/>
    <w:rsid w:val="0023696B"/>
    <w:rsid w:val="00250967"/>
    <w:rsid w:val="002759C5"/>
    <w:rsid w:val="00277DEE"/>
    <w:rsid w:val="00280D88"/>
    <w:rsid w:val="00294ABE"/>
    <w:rsid w:val="0029561D"/>
    <w:rsid w:val="002A3EB4"/>
    <w:rsid w:val="00325348"/>
    <w:rsid w:val="00393688"/>
    <w:rsid w:val="003D411E"/>
    <w:rsid w:val="003E3C1E"/>
    <w:rsid w:val="003E6148"/>
    <w:rsid w:val="00400EAA"/>
    <w:rsid w:val="00403D96"/>
    <w:rsid w:val="0041760A"/>
    <w:rsid w:val="004203D7"/>
    <w:rsid w:val="00421514"/>
    <w:rsid w:val="0042295C"/>
    <w:rsid w:val="00435075"/>
    <w:rsid w:val="004809EE"/>
    <w:rsid w:val="00511EE9"/>
    <w:rsid w:val="00521C2E"/>
    <w:rsid w:val="00521E00"/>
    <w:rsid w:val="00577C6C"/>
    <w:rsid w:val="0058501B"/>
    <w:rsid w:val="0061228A"/>
    <w:rsid w:val="006215AA"/>
    <w:rsid w:val="006274DD"/>
    <w:rsid w:val="006340D9"/>
    <w:rsid w:val="00643B8E"/>
    <w:rsid w:val="00665EBC"/>
    <w:rsid w:val="0069470D"/>
    <w:rsid w:val="00695DFB"/>
    <w:rsid w:val="006A476C"/>
    <w:rsid w:val="006C6A93"/>
    <w:rsid w:val="006E02F9"/>
    <w:rsid w:val="00753C04"/>
    <w:rsid w:val="00756946"/>
    <w:rsid w:val="00757F80"/>
    <w:rsid w:val="00771EEC"/>
    <w:rsid w:val="00786819"/>
    <w:rsid w:val="0079538E"/>
    <w:rsid w:val="007A325A"/>
    <w:rsid w:val="007C3099"/>
    <w:rsid w:val="007C7EDF"/>
    <w:rsid w:val="007E1C94"/>
    <w:rsid w:val="007E72BE"/>
    <w:rsid w:val="007F1523"/>
    <w:rsid w:val="007F509E"/>
    <w:rsid w:val="007F5799"/>
    <w:rsid w:val="007F6947"/>
    <w:rsid w:val="00817683"/>
    <w:rsid w:val="00834A12"/>
    <w:rsid w:val="00857618"/>
    <w:rsid w:val="00866259"/>
    <w:rsid w:val="00872729"/>
    <w:rsid w:val="00873620"/>
    <w:rsid w:val="008C051F"/>
    <w:rsid w:val="008F4429"/>
    <w:rsid w:val="00932670"/>
    <w:rsid w:val="009352BB"/>
    <w:rsid w:val="00990668"/>
    <w:rsid w:val="009B397B"/>
    <w:rsid w:val="009F0C77"/>
    <w:rsid w:val="009F4DD1"/>
    <w:rsid w:val="00A269E1"/>
    <w:rsid w:val="00A64E80"/>
    <w:rsid w:val="00A741D9"/>
    <w:rsid w:val="00A82344"/>
    <w:rsid w:val="00A95266"/>
    <w:rsid w:val="00A9741D"/>
    <w:rsid w:val="00AD4B17"/>
    <w:rsid w:val="00B013CE"/>
    <w:rsid w:val="00B26FA6"/>
    <w:rsid w:val="00B31D7B"/>
    <w:rsid w:val="00B50D73"/>
    <w:rsid w:val="00B60384"/>
    <w:rsid w:val="00B7071C"/>
    <w:rsid w:val="00B741CB"/>
    <w:rsid w:val="00B874E3"/>
    <w:rsid w:val="00B934F3"/>
    <w:rsid w:val="00BB6347"/>
    <w:rsid w:val="00BD2134"/>
    <w:rsid w:val="00BE74BF"/>
    <w:rsid w:val="00C038D8"/>
    <w:rsid w:val="00C045DD"/>
    <w:rsid w:val="00C3136F"/>
    <w:rsid w:val="00C3483A"/>
    <w:rsid w:val="00C66236"/>
    <w:rsid w:val="00C74E9D"/>
    <w:rsid w:val="00C82FD3"/>
    <w:rsid w:val="00CC6B7B"/>
    <w:rsid w:val="00CD3619"/>
    <w:rsid w:val="00CF4447"/>
    <w:rsid w:val="00D35723"/>
    <w:rsid w:val="00D405E7"/>
    <w:rsid w:val="00D41D56"/>
    <w:rsid w:val="00D6260D"/>
    <w:rsid w:val="00D6662B"/>
    <w:rsid w:val="00D95E2F"/>
    <w:rsid w:val="00D970A9"/>
    <w:rsid w:val="00DB3AC0"/>
    <w:rsid w:val="00DB4E0C"/>
    <w:rsid w:val="00DC6813"/>
    <w:rsid w:val="00DE68F0"/>
    <w:rsid w:val="00DF3845"/>
    <w:rsid w:val="00DF7E17"/>
    <w:rsid w:val="00E1239A"/>
    <w:rsid w:val="00E30BA0"/>
    <w:rsid w:val="00E705B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D362A-0DBD-45D9-95FF-B32193E0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03C7C-FF42-4CD0-9EBD-FB9CC739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EEB28719.dotm</Template>
  <TotalTime>0</TotalTime>
  <Pages>5</Pages>
  <Words>943</Words>
  <Characters>5052</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2015-2016 Bill 1016 Text of Previous Version (Jan. 21, 2016) - South Carolina Legislature Online</vt:lpstr>
    </vt:vector>
  </TitlesOfParts>
  <Company> </Company>
  <LinksUpToDate>false</LinksUpToDate>
  <CharactersWithSpaces>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1016 Text of Previous Version (Apr. 27, 2016) - South Carolina Legislature Online</dc:title>
  <dc:subject/>
  <dc:creator>%USERNAME%</dc:creator>
  <cp:keywords/>
  <dc:description/>
  <cp:lastModifiedBy>Miriam Cook</cp:lastModifiedBy>
  <cp:revision>2</cp:revision>
  <cp:lastPrinted>2016-04-21T17:41:00Z</cp:lastPrinted>
  <dcterms:created xsi:type="dcterms:W3CDTF">2016-04-27T22:08:00Z</dcterms:created>
  <dcterms:modified xsi:type="dcterms:W3CDTF">2016-04-27T22:08:00Z</dcterms:modified>
</cp:coreProperties>
</file>