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50378A"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50378A">
        <w:rPr>
          <w:rFonts w:eastAsia="Times New Roman"/>
        </w:rPr>
        <w:t>, 2016</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right" w:pos="5933"/>
        </w:tabs>
        <w:suppressAutoHyphens/>
        <w:jc w:val="both"/>
        <w:rPr>
          <w:rFonts w:eastAsia="Times New Roman"/>
        </w:rPr>
      </w:pPr>
      <w:r>
        <w:rPr>
          <w:rFonts w:eastAsia="Times New Roman"/>
        </w:rPr>
        <w:tab/>
      </w:r>
      <w:r>
        <w:rPr>
          <w:rFonts w:eastAsia="Times New Roman"/>
          <w:b/>
          <w:sz w:val="36"/>
        </w:rPr>
        <w:t>S. 1075</w:t>
      </w:r>
    </w:p>
    <w:p w:rsid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Hayes and Grooms</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7B2C4D" w:rsidP="000A7FD9">
      <w:pPr>
        <w:tabs>
          <w:tab w:val="right" w:pos="5933"/>
        </w:tabs>
        <w:suppressAutoHyphens/>
        <w:jc w:val="both"/>
        <w:rPr>
          <w:rFonts w:eastAsia="Times New Roman"/>
        </w:rPr>
      </w:pPr>
      <w:r>
        <w:rPr>
          <w:rFonts w:eastAsia="Times New Roman"/>
        </w:rPr>
        <w:t>S. Printed 3/7</w:t>
      </w:r>
      <w:r w:rsidR="0050378A">
        <w:rPr>
          <w:rFonts w:eastAsia="Times New Roman"/>
        </w:rPr>
        <w:t>/16--S.</w:t>
      </w:r>
      <w:r w:rsidR="000A7FD9">
        <w:rPr>
          <w:rFonts w:eastAsia="Times New Roman"/>
        </w:rPr>
        <w:tab/>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378A" w:rsidSect="00503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08C" w:rsidRPr="00522CE0" w:rsidRDefault="00906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C64F5">
        <w:rPr>
          <w:rFonts w:eastAsia="Times New Roman"/>
        </w:rPr>
        <w:noBreakHyphen/>
      </w:r>
      <w:r>
        <w:rPr>
          <w:rFonts w:eastAsia="Times New Roman"/>
        </w:rPr>
        <w:t>28</w:t>
      </w:r>
      <w:r w:rsidR="00CC64F5">
        <w:rPr>
          <w:rFonts w:eastAsia="Times New Roman"/>
        </w:rPr>
        <w:noBreakHyphen/>
      </w:r>
      <w:r>
        <w:rPr>
          <w:rFonts w:eastAsia="Times New Roman"/>
        </w:rPr>
        <w:t>110 OF THE 1976 CODE, RELATING TO DEFINITIONS PERTAINING TO MOTOR FUELS, TO AMEND CERTAIN DEFINITIONS; TO AMEND SECTION 56</w:t>
      </w:r>
      <w:r w:rsidR="00CC64F5">
        <w:rPr>
          <w:rFonts w:eastAsia="Times New Roman"/>
        </w:rPr>
        <w:noBreakHyphen/>
      </w:r>
      <w:r>
        <w:rPr>
          <w:rFonts w:eastAsia="Times New Roman"/>
        </w:rPr>
        <w:t>5</w:t>
      </w:r>
      <w:r w:rsidR="00CC64F5">
        <w:rPr>
          <w:rFonts w:eastAsia="Times New Roman"/>
        </w:rPr>
        <w:noBreakHyphen/>
      </w:r>
      <w:r>
        <w:rPr>
          <w:rFonts w:eastAsia="Times New Roman"/>
        </w:rPr>
        <w:t xml:space="preserve">4160 OF THE 1976 CODE, RELATING TO VEHICLE WEIGHTS AND LOADS, TO PROVIDE ADDITIONAL WEIGHT ALLOWANCES FOR MOTOR VEHICLES FUELED BY </w:t>
      </w:r>
      <w:r w:rsidR="00BB362F">
        <w:rPr>
          <w:rFonts w:eastAsia="Times New Roman"/>
        </w:rPr>
        <w:t>ALTERNATIVE FUEL</w:t>
      </w:r>
      <w:r>
        <w:rPr>
          <w:rFonts w:eastAsia="Times New Roman"/>
        </w:rPr>
        <w:t xml:space="preserve">; </w:t>
      </w:r>
      <w:r w:rsidR="00F54E71">
        <w:rPr>
          <w:rFonts w:eastAsia="Times New Roman"/>
        </w:rPr>
        <w:t>TO AMEND SECTION 12</w:t>
      </w:r>
      <w:r w:rsidR="00CC64F5">
        <w:rPr>
          <w:rFonts w:eastAsia="Times New Roman"/>
        </w:rPr>
        <w:noBreakHyphen/>
      </w:r>
      <w:r w:rsidR="00F54E71">
        <w:rPr>
          <w:rFonts w:eastAsia="Times New Roman"/>
        </w:rPr>
        <w:t>37</w:t>
      </w:r>
      <w:r w:rsidR="00CC64F5">
        <w:rPr>
          <w:rFonts w:eastAsia="Times New Roman"/>
        </w:rPr>
        <w:noBreakHyphen/>
      </w:r>
      <w:r w:rsidR="00F54E71">
        <w:rPr>
          <w:rFonts w:eastAsia="Times New Roman"/>
        </w:rPr>
        <w:t xml:space="preserve">2820, RELATING TO THE ASSESSMENT OF MOTOR VEHICLES, TO CLARIFY A DEFINITION AS IT RELATES TO MOTOR VEHICLES FUELED BY </w:t>
      </w:r>
      <w:r w:rsidR="00BB362F">
        <w:rPr>
          <w:rFonts w:eastAsia="Times New Roman"/>
        </w:rPr>
        <w:t>ALTERNATIVE FUEL</w:t>
      </w:r>
      <w:r w:rsidR="00F54E71">
        <w:rPr>
          <w:rFonts w:eastAsia="Times New Roman"/>
        </w:rPr>
        <w:t xml:space="preserve">; </w:t>
      </w:r>
      <w:r>
        <w:rPr>
          <w:rFonts w:eastAsia="Times New Roman"/>
        </w:rPr>
        <w:t>TO ADD SECTION 12</w:t>
      </w:r>
      <w:r w:rsidR="00CC64F5">
        <w:rPr>
          <w:rFonts w:eastAsia="Times New Roman"/>
        </w:rPr>
        <w:noBreakHyphen/>
      </w:r>
      <w:r>
        <w:rPr>
          <w:rFonts w:eastAsia="Times New Roman"/>
        </w:rPr>
        <w:t>6</w:t>
      </w:r>
      <w:r w:rsidR="00CC64F5">
        <w:rPr>
          <w:rFonts w:eastAsia="Times New Roman"/>
        </w:rPr>
        <w:noBreakHyphen/>
      </w:r>
      <w:r>
        <w:rPr>
          <w:rFonts w:eastAsia="Times New Roman"/>
        </w:rPr>
        <w:t>3695</w:t>
      </w:r>
      <w:r>
        <w:rPr>
          <w:color w:val="000000" w:themeColor="text1"/>
          <w:u w:color="000000" w:themeColor="text1"/>
        </w:rPr>
        <w:t xml:space="preserve">, RELATING TO INCOME TAX CREDITS, TO ALLOW </w:t>
      </w:r>
      <w:r w:rsidRPr="00C86927">
        <w:rPr>
          <w:color w:val="000000" w:themeColor="text1"/>
          <w:szCs w:val="27"/>
          <w:u w:color="000000" w:themeColor="text1"/>
        </w:rPr>
        <w:t xml:space="preserve">AN INCOME TAX CREDIT TO A TAXPAYER WHO PURCHASES OR CONSTRUCTS AND INSTALLS AND PLACES IN SERVICE IN THIS STATE ELIGIBLE PROPERTY THAT IS USED FOR DISTRIBUTION, DISPENSING, OR STORING ALTERNATIVE FUEL AT A NEW OR EXISTING FUEL DISTRIBUTION OR DISPENSING FACILITY, AND TO SPECIFY THE AMOUNT OF THE CREDIT AND THE REQUIREMENTS OF THE CREDIT; AND </w:t>
      </w:r>
      <w:r>
        <w:rPr>
          <w:color w:val="000000" w:themeColor="text1"/>
          <w:szCs w:val="27"/>
          <w:u w:color="000000" w:themeColor="text1"/>
        </w:rPr>
        <w:t>TO</w:t>
      </w:r>
      <w:r w:rsidRPr="00C86927">
        <w:rPr>
          <w:color w:val="000000" w:themeColor="text1"/>
          <w:szCs w:val="27"/>
          <w:u w:color="000000" w:themeColor="text1"/>
        </w:rPr>
        <w:t xml:space="preserve"> ADD SECTION</w:t>
      </w:r>
      <w:r w:rsidRPr="00C86927">
        <w:rPr>
          <w:rStyle w:val="apple-converted-space"/>
          <w:color w:val="000000" w:themeColor="text1"/>
          <w:szCs w:val="27"/>
          <w:u w:color="000000" w:themeColor="text1"/>
        </w:rPr>
        <w:t xml:space="preserve"> </w:t>
      </w:r>
      <w:r w:rsidRPr="00C86927">
        <w:rPr>
          <w:color w:val="000000" w:themeColor="text1"/>
          <w:szCs w:val="27"/>
          <w:u w:color="000000" w:themeColor="text1"/>
        </w:rPr>
        <w:t>12</w:t>
      </w:r>
      <w:r w:rsidR="00CC64F5">
        <w:rPr>
          <w:color w:val="000000" w:themeColor="text1"/>
          <w:szCs w:val="27"/>
          <w:u w:color="000000" w:themeColor="text1"/>
        </w:rPr>
        <w:noBreakHyphen/>
      </w:r>
      <w:r w:rsidRPr="00C86927">
        <w:rPr>
          <w:color w:val="000000" w:themeColor="text1"/>
          <w:szCs w:val="27"/>
          <w:u w:color="000000" w:themeColor="text1"/>
        </w:rPr>
        <w:t>6</w:t>
      </w:r>
      <w:r w:rsidR="00CC64F5">
        <w:rPr>
          <w:color w:val="000000" w:themeColor="text1"/>
          <w:szCs w:val="27"/>
          <w:u w:color="000000" w:themeColor="text1"/>
        </w:rPr>
        <w:noBreakHyphen/>
      </w:r>
      <w:r w:rsidRPr="00C86927">
        <w:rPr>
          <w:color w:val="000000" w:themeColor="text1"/>
          <w:szCs w:val="27"/>
          <w:u w:color="000000" w:themeColor="text1"/>
        </w:rPr>
        <w:t xml:space="preserve">3697, </w:t>
      </w:r>
      <w:r w:rsidR="007A0D62">
        <w:rPr>
          <w:color w:val="000000" w:themeColor="text1"/>
          <w:szCs w:val="27"/>
          <w:u w:color="000000" w:themeColor="text1"/>
        </w:rPr>
        <w:t xml:space="preserve">RELATING TO INCOME TAX CREDITS, </w:t>
      </w:r>
      <w:r w:rsidRPr="00C86927">
        <w:rPr>
          <w:color w:val="000000" w:themeColor="text1"/>
          <w:szCs w:val="27"/>
          <w:u w:color="000000" w:themeColor="text1"/>
        </w:rPr>
        <w:t>TO ALLOW FOR AN INCOME TAX CREDIT FOR THE INCREMENTAL COSTS OR CONVERSION COSTS OF THE AMOUNT EXPENDED TO PURCHASE OR CONVERT AN ALTERNATIVE FUEL HEAVY</w:t>
      </w:r>
      <w:r w:rsidR="00CC64F5">
        <w:rPr>
          <w:color w:val="000000" w:themeColor="text1"/>
          <w:szCs w:val="27"/>
          <w:u w:color="000000" w:themeColor="text1"/>
        </w:rPr>
        <w:noBreakHyphen/>
      </w:r>
      <w:r w:rsidRPr="00C86927">
        <w:rPr>
          <w:color w:val="000000" w:themeColor="text1"/>
          <w:szCs w:val="27"/>
          <w:u w:color="000000" w:themeColor="text1"/>
        </w:rPr>
        <w:t>DUTY VEHICLE, ALTERNATIVE FUEL VEHICLE, AND A BI</w:t>
      </w:r>
      <w:r w:rsidR="00CC64F5">
        <w:rPr>
          <w:color w:val="000000" w:themeColor="text1"/>
          <w:szCs w:val="27"/>
          <w:u w:color="000000" w:themeColor="text1"/>
        </w:rPr>
        <w:noBreakHyphen/>
      </w:r>
      <w:r w:rsidRPr="00C86927">
        <w:rPr>
          <w:color w:val="000000" w:themeColor="text1"/>
          <w:szCs w:val="27"/>
          <w:u w:color="000000" w:themeColor="text1"/>
        </w:rPr>
        <w:t>FUEL ALTERNATIVE FUEL VEHICLE, AND TO SPECIFY THE AMOUNT OF THE CREDITS AND THE REQUIREMENTS OF THE CREDIT.</w:t>
      </w:r>
      <w:bookmarkEnd w:id="1"/>
    </w:p>
    <w:p w:rsidR="00522CE0"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B2C4D" w:rsidRDefault="007B2C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1.</w:t>
      </w:r>
      <w:r w:rsidRPr="00B45FED">
        <w:rPr>
          <w:color w:val="000000" w:themeColor="text1"/>
          <w:u w:color="000000" w:themeColor="text1"/>
        </w:rPr>
        <w:tab/>
        <w:t>A.</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110(1) of the 1976 Code is amended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“(1)</w:t>
      </w:r>
      <w:r w:rsidRPr="00B45FED">
        <w:rPr>
          <w:color w:val="000000" w:themeColor="text1"/>
          <w:u w:color="000000" w:themeColor="text1"/>
        </w:rPr>
        <w:tab/>
        <w:t xml:space="preserve">‘Alternative fuel’ means a liquefied petroleum gas, </w:t>
      </w:r>
      <w:r w:rsidRPr="00B45FED">
        <w:rPr>
          <w:color w:val="000000" w:themeColor="text1"/>
          <w:u w:val="single" w:color="000000" w:themeColor="text1"/>
        </w:rPr>
        <w:t>liquefied natural gas,</w:t>
      </w:r>
      <w:r w:rsidRPr="00B45FED">
        <w:rPr>
          <w:color w:val="000000" w:themeColor="text1"/>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B45FED">
        <w:rPr>
          <w:color w:val="000000" w:themeColor="text1"/>
          <w:u w:val="single" w:color="000000" w:themeColor="text1"/>
        </w:rPr>
        <w:t>liquefied natural gas,</w:t>
      </w:r>
      <w:r w:rsidRPr="00B45FED">
        <w:rPr>
          <w:color w:val="000000" w:themeColor="text1"/>
          <w:u w:color="000000" w:themeColor="text1"/>
        </w:rPr>
        <w:t xml:space="preserve"> or compressed natural gas.”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110(39) of the 1976 Code is amended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“(39)</w:t>
      </w:r>
      <w:r w:rsidRPr="00B45FED">
        <w:rPr>
          <w:color w:val="000000" w:themeColor="text1"/>
          <w:u w:color="000000" w:themeColor="text1"/>
        </w:rPr>
        <w:tab/>
        <w:t xml:space="preserve">‘Motor fuel’ means gasoline, diesel fuel, substitute fuel, renewable fuel, </w:t>
      </w:r>
      <w:r w:rsidRPr="00B45FED">
        <w:rPr>
          <w:color w:val="000000" w:themeColor="text1"/>
          <w:u w:val="single" w:color="000000" w:themeColor="text1"/>
        </w:rPr>
        <w:t>alternative fuel,</w:t>
      </w:r>
      <w:r w:rsidRPr="00B45FED">
        <w:rPr>
          <w:color w:val="000000" w:themeColor="text1"/>
          <w:u w:color="000000" w:themeColor="text1"/>
        </w:rPr>
        <w:t xml:space="preserve"> and blended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C.</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110(55) of the 1976 Code is amended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“(55)</w:t>
      </w:r>
      <w:r w:rsidRPr="00B45FED">
        <w:rPr>
          <w:color w:val="000000" w:themeColor="text1"/>
          <w:u w:color="000000" w:themeColor="text1"/>
        </w:rPr>
        <w:tab/>
        <w:t xml:space="preserve">‘Motor fuel subject to the user fee’ means gasoline, diesel fuel, kerosene, blended fuel, substitute fuel, </w:t>
      </w:r>
      <w:r w:rsidRPr="00B45FED">
        <w:rPr>
          <w:color w:val="000000" w:themeColor="text1"/>
          <w:u w:val="single" w:color="000000" w:themeColor="text1"/>
        </w:rPr>
        <w:t>alternative fuel</w:t>
      </w:r>
      <w:r w:rsidRPr="00B45FED">
        <w:rPr>
          <w:color w:val="000000" w:themeColor="text1"/>
          <w:u w:color="000000" w:themeColor="text1"/>
        </w:rPr>
        <w:t xml:space="preserve"> and blends of them and any other substance blended with them.”</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D.</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 of the 1976 Code is amended by adding two appropriately numbered items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7B2C4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  )</w:t>
      </w:r>
      <w:r w:rsidRPr="00B45FED">
        <w:rPr>
          <w:color w:val="000000" w:themeColor="text1"/>
          <w:u w:color="000000" w:themeColor="text1"/>
        </w:rPr>
        <w:tab/>
        <w:t xml:space="preserve">‘Gasoline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w:t>
      </w:r>
      <w:r w:rsidRPr="00B45FED">
        <w:rPr>
          <w:color w:val="000000" w:themeColor="text1"/>
          <w:u w:color="000000" w:themeColor="text1"/>
        </w:rPr>
        <w:lastRenderedPageBreak/>
        <w:t>equals one gallon of motor fuel and each gallon of liquefied petroleum gas equals .73 of a gallon of motor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E.</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Article 1, Chapter 28, Title 12 of the 1976 Code is amended by adding:</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120.</w:t>
      </w:r>
      <w:r w:rsidRPr="00B45FED">
        <w:rPr>
          <w:color w:val="000000" w:themeColor="text1"/>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sidRPr="00B45FED">
        <w:rPr>
          <w:color w:val="000000" w:themeColor="text1"/>
          <w:u w:color="000000" w:themeColor="text1"/>
        </w:rPr>
        <w:t>.</w:t>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36</w:t>
      </w:r>
      <w:r>
        <w:rPr>
          <w:color w:val="000000" w:themeColor="text1"/>
          <w:u w:color="000000" w:themeColor="text1"/>
        </w:rPr>
        <w:noBreakHyphen/>
      </w:r>
      <w:r w:rsidRPr="00B45FED">
        <w:rPr>
          <w:color w:val="000000" w:themeColor="text1"/>
          <w:u w:color="000000" w:themeColor="text1"/>
        </w:rPr>
        <w:t>2120(15) of the 1976 Code is amended by adding two appropriately lettered subitems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 xml:space="preserve">1139 who will compress it to produce compressed natural gas, or cool it to produce liquefied natural gas, for use as a motor fuel and remit the motor fuel user fees as required by law; and </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r>
      <w:r w:rsidRPr="00B45FED">
        <w:rPr>
          <w:color w:val="000000" w:themeColor="text1"/>
          <w:u w:color="000000" w:themeColor="text1"/>
        </w:rPr>
        <w:tab/>
        <w:t>(  )</w:t>
      </w:r>
      <w:r w:rsidRPr="00B45FED">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1139 who will use the liquefied petroleum gas as a motor fuel and remit the motor fuel user fees as required by law;”</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B45FED">
        <w:rPr>
          <w:color w:val="000000" w:themeColor="text1"/>
          <w:u w:color="000000" w:themeColor="text1"/>
        </w:rPr>
        <w:t>.</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1125(A) of the 1976 Code is amended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“(A)</w:t>
      </w:r>
      <w:r w:rsidRPr="00B45FED">
        <w:rPr>
          <w:color w:val="000000" w:themeColor="text1"/>
          <w:u w:color="000000" w:themeColor="text1"/>
        </w:rPr>
        <w:tab/>
        <w:t xml:space="preserve">Each person who wishes to cause motor fuel subject to the user fee to be delivered into this State on his behalf, for his own account, or for resale to a purchaser in this State, from another state </w:t>
      </w:r>
      <w:r w:rsidRPr="00B45FED">
        <w:rPr>
          <w:strike/>
          <w:color w:val="000000" w:themeColor="text1"/>
          <w:u w:color="000000" w:themeColor="text1"/>
        </w:rPr>
        <w:t>in a fuel transport truck or in a pipeline or barge shipment</w:t>
      </w:r>
      <w:r w:rsidRPr="00B45FED">
        <w:rPr>
          <w:color w:val="000000" w:themeColor="text1"/>
          <w:u w:color="000000" w:themeColor="text1"/>
        </w:rPr>
        <w:t xml:space="preserve"> </w:t>
      </w:r>
      <w:r w:rsidRPr="00B45FED">
        <w:rPr>
          <w:color w:val="000000" w:themeColor="text1"/>
          <w:u w:val="single" w:color="000000" w:themeColor="text1"/>
        </w:rPr>
        <w:t>by any means</w:t>
      </w:r>
      <w:r w:rsidRPr="00B45FED">
        <w:rPr>
          <w:color w:val="000000" w:themeColor="text1"/>
          <w:u w:color="000000" w:themeColor="text1"/>
        </w:rPr>
        <w:t xml:space="preserve"> into storage facilities other than a qualified terminal, shall apply and obtain an occasional importer’s license or a bonded importer’s license, at the discretion of the applicant.”</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2.</w:t>
      </w:r>
      <w:r w:rsidRPr="00B45FED">
        <w:rPr>
          <w:color w:val="000000" w:themeColor="text1"/>
          <w:u w:color="000000" w:themeColor="text1"/>
        </w:rPr>
        <w:tab/>
        <w:t>Section 56</w:t>
      </w:r>
      <w:r>
        <w:rPr>
          <w:color w:val="000000" w:themeColor="text1"/>
          <w:u w:color="000000" w:themeColor="text1"/>
        </w:rPr>
        <w:noBreakHyphen/>
      </w:r>
      <w:r w:rsidRPr="00B45FED">
        <w:rPr>
          <w:color w:val="000000" w:themeColor="text1"/>
          <w:u w:color="000000" w:themeColor="text1"/>
        </w:rPr>
        <w:t>5</w:t>
      </w:r>
      <w:r>
        <w:rPr>
          <w:color w:val="000000" w:themeColor="text1"/>
          <w:u w:color="000000" w:themeColor="text1"/>
        </w:rPr>
        <w:noBreakHyphen/>
      </w:r>
      <w:r w:rsidRPr="00B45FED">
        <w:rPr>
          <w:color w:val="000000" w:themeColor="text1"/>
          <w:u w:color="000000" w:themeColor="text1"/>
        </w:rPr>
        <w:t>4160 of the 1976 Code, as last amended by Act 234 of 2008, is further amended by adding an appropriately lettered subsection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Pr>
          <w:color w:val="000000" w:themeColor="text1"/>
          <w:u w:color="000000" w:themeColor="text1"/>
        </w:rPr>
        <w:t>A</w:t>
      </w:r>
      <w:r w:rsidRPr="00B45FED">
        <w:rPr>
          <w:color w:val="000000" w:themeColor="text1"/>
          <w:u w:color="000000" w:themeColor="text1"/>
        </w:rPr>
        <w:t>ny motor vehicle that is fueled primarily by natural gas may exceed the gross, single axle, tandem axle, or bridge formula weight limits,</w:t>
      </w:r>
      <w:r>
        <w:rPr>
          <w:color w:val="000000" w:themeColor="text1"/>
          <w:u w:color="000000" w:themeColor="text1"/>
        </w:rPr>
        <w:t xml:space="preserve"> including tolerances,</w:t>
      </w:r>
      <w:r w:rsidRPr="00B45FED">
        <w:rPr>
          <w:color w:val="000000" w:themeColor="text1"/>
          <w:u w:color="000000" w:themeColor="text1"/>
        </w:rPr>
        <w:t xml:space="preserve"> by no more than 2,000 pounds each individually weighed, up to a maximum gross vehicle weight of 82,000 pounds</w:t>
      </w:r>
      <w:r>
        <w:rPr>
          <w:color w:val="000000" w:themeColor="text1"/>
          <w:u w:color="000000" w:themeColor="text1"/>
        </w:rPr>
        <w:t xml:space="preserve"> on the interstate</w:t>
      </w:r>
      <w:r w:rsidRPr="00B45FED">
        <w:rPr>
          <w:color w:val="000000" w:themeColor="text1"/>
          <w:u w:color="000000" w:themeColor="text1"/>
        </w:rPr>
        <w:t>, by an amount that is equal to the difference between: the weight of the vehicle attributable to the natural gas tank and fueling system carried by that vehicle and the weight of a comparable diesel tank and fueling system.  This subsection only applies if the operator of the vehicle can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3.</w:t>
      </w:r>
      <w:r w:rsidRPr="00B45FED">
        <w:rPr>
          <w:color w:val="000000" w:themeColor="text1"/>
          <w:u w:color="000000" w:themeColor="text1"/>
        </w:rPr>
        <w:tab/>
        <w:t>A.</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37</w:t>
      </w:r>
      <w:r>
        <w:rPr>
          <w:color w:val="000000" w:themeColor="text1"/>
          <w:u w:color="000000" w:themeColor="text1"/>
        </w:rPr>
        <w:noBreakHyphen/>
      </w:r>
      <w:r w:rsidRPr="00B45FED">
        <w:rPr>
          <w:color w:val="000000" w:themeColor="text1"/>
          <w:u w:color="000000" w:themeColor="text1"/>
        </w:rPr>
        <w:t>2820(B) of the 1976 Code is amended to read: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“(B)</w:t>
      </w:r>
      <w:r w:rsidRPr="00B45FED">
        <w:rPr>
          <w:color w:val="000000" w:themeColor="text1"/>
          <w:u w:color="000000" w:themeColor="text1"/>
        </w:rPr>
        <w:tab/>
        <w:t xml:space="preserve">‘Gross capitalized cost’, as used in this section, means the original cost upon acquisition for income tax purposes, not to include taxes, interest, or cab customizing.  </w:t>
      </w:r>
      <w:r w:rsidRPr="00B45FED">
        <w:rPr>
          <w:color w:val="000000" w:themeColor="text1"/>
          <w:u w:val="single" w:color="000000" w:themeColor="text1"/>
        </w:rPr>
        <w:t>However, for a motor vehicle which is fueled wholly or partially by alternative fuel as defined in Section 12</w:t>
      </w:r>
      <w:r>
        <w:rPr>
          <w:color w:val="000000" w:themeColor="text1"/>
          <w:u w:val="single" w:color="000000" w:themeColor="text1"/>
        </w:rPr>
        <w:noBreakHyphen/>
      </w:r>
      <w:r w:rsidRPr="00B45FED">
        <w:rPr>
          <w:color w:val="000000" w:themeColor="text1"/>
          <w:u w:val="single" w:color="000000" w:themeColor="text1"/>
        </w:rPr>
        <w:t>28</w:t>
      </w:r>
      <w:r>
        <w:rPr>
          <w:color w:val="000000" w:themeColor="text1"/>
          <w:u w:val="single" w:color="000000" w:themeColor="text1"/>
        </w:rPr>
        <w:noBreakHyphen/>
      </w:r>
      <w:r w:rsidRPr="00B45FED">
        <w:rPr>
          <w:color w:val="000000" w:themeColor="text1"/>
          <w:u w:val="single" w:color="000000" w:themeColor="text1"/>
        </w:rPr>
        <w:t xml:space="preserve">110(1), and that was acquired </w:t>
      </w:r>
      <w:r>
        <w:rPr>
          <w:color w:val="000000" w:themeColor="text1"/>
          <w:u w:val="single" w:color="000000" w:themeColor="text1"/>
        </w:rPr>
        <w:t xml:space="preserve">after 2015 but </w:t>
      </w:r>
      <w:r w:rsidRPr="00B45FED">
        <w:rPr>
          <w:color w:val="000000" w:themeColor="text1"/>
          <w:u w:val="single" w:color="000000" w:themeColor="text1"/>
        </w:rPr>
        <w:t xml:space="preserve">before 2026, the gross capitalized cost is reduced by </w:t>
      </w:r>
      <w:r>
        <w:rPr>
          <w:color w:val="000000" w:themeColor="text1"/>
          <w:u w:val="single" w:color="000000" w:themeColor="text1"/>
        </w:rPr>
        <w:t xml:space="preserve">the differential costs of </w:t>
      </w:r>
      <w:r w:rsidRPr="00B45FED">
        <w:rPr>
          <w:color w:val="000000" w:themeColor="text1"/>
          <w:u w:val="single" w:color="000000" w:themeColor="text1"/>
        </w:rPr>
        <w:t>a comparable diesel or gasoline powered vehicle</w:t>
      </w:r>
      <w:r>
        <w:rPr>
          <w:color w:val="000000" w:themeColor="text1"/>
          <w:u w:val="single" w:color="000000" w:themeColor="text1"/>
        </w:rPr>
        <w:t>, not to exceed thirty percent of the total acquisition cost of the motor vehicle</w:t>
      </w:r>
      <w:r w:rsidRPr="00B45FED">
        <w:rPr>
          <w:color w:val="000000" w:themeColor="text1"/>
          <w:u w:val="single" w:color="000000" w:themeColor="text1"/>
        </w:rPr>
        <w:t>.  This reduction shall apply for the first ten property tax years for which tax is due following the acquisition of the vehicle.</w:t>
      </w:r>
      <w:r w:rsidRPr="00B45FED">
        <w:rPr>
          <w:color w:val="000000" w:themeColor="text1"/>
          <w:u w:color="000000" w:themeColor="text1"/>
        </w:rPr>
        <w:t>”</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property tax years beginning after 2015.</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4.</w:t>
      </w:r>
      <w:r w:rsidRPr="00B45FED">
        <w:rPr>
          <w:color w:val="000000" w:themeColor="text1"/>
          <w:u w:color="000000" w:themeColor="text1"/>
        </w:rPr>
        <w:tab/>
        <w:t>A.</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Article 25, Chapter 6, Title 12 of the 1976 Code is amended by adding:</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6</w:t>
      </w:r>
      <w:r>
        <w:rPr>
          <w:color w:val="000000" w:themeColor="text1"/>
          <w:u w:color="000000" w:themeColor="text1"/>
        </w:rPr>
        <w:noBreakHyphen/>
      </w:r>
      <w:r w:rsidRPr="00B45FED">
        <w:rPr>
          <w:color w:val="000000" w:themeColor="text1"/>
          <w:u w:color="000000" w:themeColor="text1"/>
        </w:rPr>
        <w:t>3695.</w:t>
      </w:r>
      <w:r w:rsidRPr="00B45FED">
        <w:rPr>
          <w:color w:val="000000" w:themeColor="text1"/>
          <w:u w:color="000000" w:themeColor="text1"/>
        </w:rPr>
        <w:tab/>
        <w:t>(A)(1)</w:t>
      </w:r>
      <w:r w:rsidRPr="00B45FED">
        <w:rPr>
          <w:color w:val="000000" w:themeColor="text1"/>
          <w:u w:color="000000" w:themeColor="text1"/>
        </w:rPr>
        <w:tab/>
        <w:t xml:space="preserve">A taxpayer who purchases or constructs and installs and places in service in this State eligible property that is used for distribution, dispensing, or storing alternative fuel specified in this subsection, at a new or existing </w:t>
      </w:r>
      <w:r w:rsidRPr="00B45FED">
        <w:rPr>
          <w:color w:val="000000" w:themeColor="text1"/>
          <w:u w:color="000000" w:themeColor="text1"/>
        </w:rPr>
        <w:lastRenderedPageBreak/>
        <w:t>fuel distribution or dispensing facility, is allowed an income tax credit equal to twenty</w:t>
      </w:r>
      <w:r>
        <w:rPr>
          <w:color w:val="000000" w:themeColor="text1"/>
          <w:u w:color="000000" w:themeColor="text1"/>
        </w:rPr>
        <w:noBreakHyphen/>
      </w:r>
      <w:r w:rsidRPr="00B45FED">
        <w:rPr>
          <w:color w:val="000000" w:themeColor="text1"/>
          <w:u w:color="000000" w:themeColor="text1"/>
        </w:rPr>
        <w:t>five percent of the cost to the taxpayer of purchasing, constructing, and installing the eligible property.</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The entire credit may not be taken in the taxable year in which the property is placed in service,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expires and the taxpayer may not claim any remaining installment of the credit.</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The unused portion of an unexpired credit may be carried forward for not more than ten succeeding taxable years.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(4)</w:t>
      </w:r>
      <w:r w:rsidRPr="00B45FED">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(D), as used in this item, the term ‘taxpayer’ only applies to the State or any agency or instrumentality, authority, or political subdivision, including municipalities.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(5)</w:t>
      </w:r>
      <w:r w:rsidRPr="00B45FED">
        <w:rPr>
          <w:color w:val="000000" w:themeColor="text1"/>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(B)</w:t>
      </w:r>
      <w:r w:rsidRPr="00B45FED">
        <w:rPr>
          <w:color w:val="000000" w:themeColor="text1"/>
          <w:u w:color="000000" w:themeColor="text1"/>
        </w:rPr>
        <w:tab/>
        <w:t>The Department of Revenue may require documentation that it considers necessary to administer the credit.</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(C)</w:t>
      </w:r>
      <w:r w:rsidRPr="00B45FED">
        <w:rPr>
          <w:color w:val="000000" w:themeColor="text1"/>
          <w:u w:color="000000" w:themeColor="text1"/>
        </w:rPr>
        <w:tab/>
        <w:t>To claim the credits allowed in this section, the taxpayer must place the property or facility in service before January 1, 2026.</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(D)</w:t>
      </w:r>
      <w:r w:rsidRPr="00B45FED">
        <w:rPr>
          <w:color w:val="000000" w:themeColor="text1"/>
          <w:u w:color="000000" w:themeColor="text1"/>
        </w:rPr>
        <w:tab/>
        <w:t>For purposes of this section:</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‘Eligible property’ includes pumps, compressors, storage tanks, and related equipment that is directly and exclusively used for distribution, dispensing, or storing alternative fuel. The equipment used to store, distribute, or dispense alternative fuel must be labeled for this purpose and clearly identified as associated with alternative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‘Alternative fuel’ means compressed natural gas, liquefied natural gas, or liquefied petroleum gas, dispensed for use in motor vehicles and compressed natural gas, liquefied natural gas, or liquefied petroleum gas, dispensed by a distributor or facility.</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lastRenderedPageBreak/>
        <w:tab/>
      </w:r>
      <w:r w:rsidRPr="00B45FED">
        <w:rPr>
          <w:color w:val="000000" w:themeColor="text1"/>
          <w:u w:color="000000" w:themeColor="text1"/>
        </w:rPr>
        <w:tab/>
        <w:t>(3)</w:t>
      </w:r>
      <w:r w:rsidRPr="00B45FED">
        <w:rPr>
          <w:color w:val="000000" w:themeColor="text1"/>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tax years beginning after 2015.</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SECTION</w:t>
      </w:r>
      <w:r w:rsidRPr="00B45FED">
        <w:rPr>
          <w:color w:val="000000" w:themeColor="text1"/>
          <w:u w:color="000000" w:themeColor="text1"/>
        </w:rPr>
        <w:tab/>
        <w:t>5.</w:t>
      </w:r>
      <w:r w:rsidRPr="00B45FED">
        <w:rPr>
          <w:color w:val="000000" w:themeColor="text1"/>
          <w:u w:color="000000" w:themeColor="text1"/>
        </w:rPr>
        <w:tab/>
        <w:t>A.</w:t>
      </w:r>
      <w:r w:rsidRPr="00B45FED">
        <w:rPr>
          <w:color w:val="000000" w:themeColor="text1"/>
          <w:u w:color="000000" w:themeColor="text1"/>
        </w:rPr>
        <w:tab/>
        <w:t>Article 25, Chapter 6, Title 12 of the 1976 Code is amended by adding:</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6</w:t>
      </w:r>
      <w:r>
        <w:rPr>
          <w:color w:val="000000" w:themeColor="text1"/>
          <w:u w:color="000000" w:themeColor="text1"/>
        </w:rPr>
        <w:noBreakHyphen/>
      </w:r>
      <w:r w:rsidRPr="00B45FED">
        <w:rPr>
          <w:color w:val="000000" w:themeColor="text1"/>
          <w:u w:color="000000" w:themeColor="text1"/>
        </w:rPr>
        <w:t>3697.</w:t>
      </w:r>
      <w:r w:rsidRPr="00B45FED">
        <w:rPr>
          <w:color w:val="000000" w:themeColor="text1"/>
          <w:u w:color="000000" w:themeColor="text1"/>
        </w:rPr>
        <w:tab/>
        <w:t>(A)</w:t>
      </w:r>
      <w:r w:rsidRPr="00B45FED">
        <w:rPr>
          <w:color w:val="000000" w:themeColor="text1"/>
          <w:u w:color="000000" w:themeColor="text1"/>
        </w:rPr>
        <w:tab/>
        <w:t>For purposes of this section:</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‘Alternative fuel’ means liquid petroleum gas, liquid natural gas, or compressed natural gas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‘Alternative fuel heavy</w:t>
      </w:r>
      <w:r>
        <w:rPr>
          <w:color w:val="000000" w:themeColor="text1"/>
          <w:u w:color="000000" w:themeColor="text1"/>
        </w:rPr>
        <w:noBreakHyphen/>
      </w:r>
      <w:r w:rsidRPr="00B45FED">
        <w:rPr>
          <w:color w:val="000000" w:themeColor="text1"/>
          <w:u w:color="000000" w:themeColor="text1"/>
        </w:rPr>
        <w:t>duty vehicle’ means a new or converted commercial vehicle, with a gross vehicle weight ratio equal to or more than 26,001 pounds, which is primarily fueled by an alternative fuel. As used in this paragraph, ‘primarily fueled by an alternative fuel’ means a vehicle that is produced by an original equipment manufacturer or converted by a third</w:t>
      </w:r>
      <w:r>
        <w:rPr>
          <w:color w:val="000000" w:themeColor="text1"/>
          <w:u w:color="000000" w:themeColor="text1"/>
        </w:rPr>
        <w:noBreakHyphen/>
      </w:r>
      <w:r w:rsidRPr="00B45FED">
        <w:rPr>
          <w:color w:val="000000" w:themeColor="text1"/>
          <w:u w:color="000000" w:themeColor="text1"/>
        </w:rPr>
        <w:t>party equipment manufacturer and operates on ninety percent or more alternative fuel and on ten percent or less gasoline or diesel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‘Alternative fuel vehicle’ means a new or converted commercial vehicle, with a gross vehicle weight ratio less than 26,001 pounds, that is fueled solely by an alternative fuel and that is produced by an original equipment manufacturer or converted by a third</w:t>
      </w:r>
      <w:r>
        <w:rPr>
          <w:color w:val="000000" w:themeColor="text1"/>
          <w:u w:color="000000" w:themeColor="text1"/>
        </w:rPr>
        <w:noBreakHyphen/>
      </w:r>
      <w:r w:rsidRPr="00B45FED">
        <w:rPr>
          <w:color w:val="000000" w:themeColor="text1"/>
          <w:u w:color="000000" w:themeColor="text1"/>
        </w:rPr>
        <w:t>party equipment manufacturer.</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(4)</w:t>
      </w:r>
      <w:r w:rsidRPr="00B45FED">
        <w:rPr>
          <w:color w:val="000000" w:themeColor="text1"/>
          <w:u w:color="000000" w:themeColor="text1"/>
        </w:rPr>
        <w:tab/>
        <w:t>‘Bi</w:t>
      </w:r>
      <w:r>
        <w:rPr>
          <w:color w:val="000000" w:themeColor="text1"/>
          <w:u w:color="000000" w:themeColor="text1"/>
        </w:rPr>
        <w:noBreakHyphen/>
      </w:r>
      <w:r w:rsidRPr="00B45FED">
        <w:rPr>
          <w:color w:val="000000" w:themeColor="text1"/>
          <w:u w:color="000000" w:themeColor="text1"/>
        </w:rPr>
        <w:t>fuel alternative fuel vehicle’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Pr>
          <w:color w:val="000000" w:themeColor="text1"/>
          <w:u w:color="000000" w:themeColor="text1"/>
        </w:rPr>
        <w:noBreakHyphen/>
      </w:r>
      <w:r w:rsidRPr="00B45FED">
        <w:rPr>
          <w:color w:val="000000" w:themeColor="text1"/>
          <w:u w:color="000000" w:themeColor="text1"/>
        </w:rPr>
        <w:t>party equipment manufacturer.</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(5)</w:t>
      </w:r>
      <w:r w:rsidRPr="00B45FED">
        <w:rPr>
          <w:color w:val="000000" w:themeColor="text1"/>
          <w:u w:color="000000" w:themeColor="text1"/>
        </w:rPr>
        <w:tab/>
        <w:t>‘Conversion cost’ means the cost that results from modifying a motor vehicle which is propelled by gasoline or diesel to be propelled by an alternative fuel. In the case of a bi</w:t>
      </w:r>
      <w:r>
        <w:rPr>
          <w:color w:val="000000" w:themeColor="text1"/>
          <w:u w:color="000000" w:themeColor="text1"/>
        </w:rPr>
        <w:noBreakHyphen/>
      </w:r>
      <w:r w:rsidRPr="00B45FED">
        <w:rPr>
          <w:color w:val="000000" w:themeColor="text1"/>
          <w:u w:color="000000" w:themeColor="text1"/>
        </w:rPr>
        <w:t>fuel alternative fuel vehicle, cost conversion means the cost that results from modifying a motor vehicle to be partially propelled by an alternative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(6)</w:t>
      </w:r>
      <w:r w:rsidRPr="00B45FED">
        <w:rPr>
          <w:color w:val="000000" w:themeColor="text1"/>
          <w:u w:color="000000" w:themeColor="text1"/>
        </w:rPr>
        <w:tab/>
        <w:t>‘Commercial vehicle’ means any vehicle used for commercial or business purposes owned by a taxpayer.</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(7)</w:t>
      </w:r>
      <w:r w:rsidRPr="00B45FED">
        <w:rPr>
          <w:color w:val="000000" w:themeColor="text1"/>
          <w:u w:color="000000" w:themeColor="text1"/>
        </w:rPr>
        <w:tab/>
        <w:t xml:space="preserve">‘Incremental cost’ means the cost that results from subtracting the manufacturer’s list price of the motor vehicle </w:t>
      </w:r>
      <w:r w:rsidRPr="00B45FED">
        <w:rPr>
          <w:color w:val="000000" w:themeColor="text1"/>
          <w:u w:color="000000" w:themeColor="text1"/>
        </w:rPr>
        <w:lastRenderedPageBreak/>
        <w:t>operating on conventional gasoline or diesel fuel from the manufacturer’s list price of the same model motor vehicle designed to operate on an alternative fuel.</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(8)</w:t>
      </w:r>
      <w:r w:rsidRPr="00B45FED">
        <w:rPr>
          <w:color w:val="000000" w:themeColor="text1"/>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(B)(1)</w:t>
      </w:r>
      <w:r w:rsidRPr="00B45FED">
        <w:rPr>
          <w:color w:val="000000" w:themeColor="text1"/>
          <w:u w:color="000000" w:themeColor="text1"/>
        </w:rPr>
        <w:tab/>
        <w:t>A taxpayer is allowed an income tax credit of fifty percent of the incremental costs or conversion costs of the amount expended to purchase or convert an alternative fuel heavy</w:t>
      </w:r>
      <w:r>
        <w:rPr>
          <w:color w:val="000000" w:themeColor="text1"/>
          <w:u w:color="000000" w:themeColor="text1"/>
        </w:rPr>
        <w:noBreakHyphen/>
      </w:r>
      <w:r w:rsidRPr="00B45FED">
        <w:rPr>
          <w:color w:val="000000" w:themeColor="text1"/>
          <w:u w:color="000000" w:themeColor="text1"/>
        </w:rPr>
        <w:t>duty vehicle. The credit may not exceed twelve thousand dollars for each vehicle.</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 taxpayer is allowed an income tax credit of fifty percent of the incremental costs or conversion costs of the amount expended to purchase or convert a bi</w:t>
      </w:r>
      <w:r>
        <w:rPr>
          <w:color w:val="000000" w:themeColor="text1"/>
          <w:u w:color="000000" w:themeColor="text1"/>
        </w:rPr>
        <w:noBreakHyphen/>
      </w:r>
      <w:r w:rsidRPr="00B45FED">
        <w:rPr>
          <w:color w:val="000000" w:themeColor="text1"/>
          <w:u w:color="000000" w:themeColor="text1"/>
        </w:rPr>
        <w:t>fuel alternative fuel vehicle. The credit may not exceed six thousand dollars for each vehicle.</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(C)</w:t>
      </w:r>
      <w:r w:rsidRPr="00B45FED">
        <w:rPr>
          <w:color w:val="000000" w:themeColor="text1"/>
          <w:u w:color="000000" w:themeColor="text1"/>
        </w:rPr>
        <w:tab/>
        <w:t>The credit allowed by this section is limited in use to fifty percent of either:</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the taxpayer’s income tax liability for the taxable year if taxpayer claims the credit allowed by this section as a credit against income tax imposed pursuant to Chapter 6; or</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the taxpayer’s corporate license fees for the taxable year if the taxpayer claims the credit allowed by this section as a credit against license fees imposed pursuant to Chapter 20.</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(D)</w:t>
      </w:r>
      <w:r w:rsidRPr="00B45FED">
        <w:rPr>
          <w:color w:val="000000" w:themeColor="text1"/>
          <w:u w:color="000000" w:themeColor="text1"/>
        </w:rPr>
        <w:tab/>
        <w:t>The tax credit is nonrefundable but unused credits may be carried forward for seven years. The seven</w:t>
      </w:r>
      <w:r>
        <w:rPr>
          <w:color w:val="000000" w:themeColor="text1"/>
          <w:u w:color="000000" w:themeColor="text1"/>
        </w:rPr>
        <w:noBreakHyphen/>
      </w:r>
      <w:r w:rsidRPr="00B45FED">
        <w:rPr>
          <w:color w:val="000000" w:themeColor="text1"/>
          <w:u w:color="000000" w:themeColor="text1"/>
        </w:rPr>
        <w:t>year carry forward period must not be extended due to periods of noncompliance.</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(E)</w:t>
      </w:r>
      <w:r w:rsidRPr="00B45FED">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‘taxpayer’ only applies to the State or any agency or instrumentality, authority, or political subdivision, including municipalities.</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(F)</w:t>
      </w:r>
      <w:r w:rsidRPr="00B45FED">
        <w:rPr>
          <w:color w:val="000000" w:themeColor="text1"/>
          <w:u w:color="000000" w:themeColor="text1"/>
        </w:rPr>
        <w:tab/>
        <w:t>The department shall produce an appropriate form for the taxpayer to submit certifying the following:</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(1)</w:t>
      </w:r>
      <w:r w:rsidRPr="00B45FED">
        <w:rPr>
          <w:color w:val="000000" w:themeColor="text1"/>
          <w:u w:color="000000" w:themeColor="text1"/>
        </w:rPr>
        <w:tab/>
        <w:t>certification from the manufacturer that the vehicle is an alternative fuel heavy</w:t>
      </w:r>
      <w:r>
        <w:rPr>
          <w:color w:val="000000" w:themeColor="text1"/>
          <w:u w:color="000000" w:themeColor="text1"/>
        </w:rPr>
        <w:noBreakHyphen/>
      </w:r>
      <w:r w:rsidRPr="00B45FED">
        <w:rPr>
          <w:color w:val="000000" w:themeColor="text1"/>
          <w:u w:color="000000" w:themeColor="text1"/>
        </w:rPr>
        <w:t xml:space="preserve">duty vehicle, alternative fuel vehicle, a </w:t>
      </w:r>
      <w:r w:rsidRPr="00B45FED">
        <w:rPr>
          <w:color w:val="000000" w:themeColor="text1"/>
          <w:u w:color="000000" w:themeColor="text1"/>
        </w:rPr>
        <w:lastRenderedPageBreak/>
        <w:t>bi</w:t>
      </w:r>
      <w:r>
        <w:rPr>
          <w:color w:val="000000" w:themeColor="text1"/>
          <w:u w:color="000000" w:themeColor="text1"/>
        </w:rPr>
        <w:noBreakHyphen/>
      </w:r>
      <w:r w:rsidRPr="00B45FED">
        <w:rPr>
          <w:color w:val="000000" w:themeColor="text1"/>
          <w:u w:color="000000" w:themeColor="text1"/>
        </w:rPr>
        <w:t>fuel alternative fuel vehicle, or a third</w:t>
      </w:r>
      <w:r>
        <w:rPr>
          <w:color w:val="000000" w:themeColor="text1"/>
          <w:u w:color="000000" w:themeColor="text1"/>
        </w:rPr>
        <w:noBreakHyphen/>
      </w:r>
      <w:r w:rsidRPr="00B45FED">
        <w:rPr>
          <w:color w:val="000000" w:themeColor="text1"/>
          <w:u w:color="000000" w:themeColor="text1"/>
        </w:rPr>
        <w:t>party equipment manufacturer who possesses a current and legal Certificate of Conformity from the Environmental Protection Agency’s Office of Transportation and Air Quality specific to the qualified alternative fuel vehicle;</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(2)</w:t>
      </w:r>
      <w:r w:rsidRPr="00B45FED">
        <w:rPr>
          <w:color w:val="000000" w:themeColor="text1"/>
          <w:u w:color="000000" w:themeColor="text1"/>
        </w:rPr>
        <w:tab/>
        <w:t>a sworn affidavit from the taxpayer certifying that the vehicle will accumulate at least fifty</w:t>
      </w:r>
      <w:r>
        <w:rPr>
          <w:color w:val="000000" w:themeColor="text1"/>
          <w:u w:color="000000" w:themeColor="text1"/>
        </w:rPr>
        <w:noBreakHyphen/>
      </w:r>
      <w:r w:rsidRPr="00B45FED">
        <w:rPr>
          <w:color w:val="000000" w:themeColor="text1"/>
          <w:u w:color="000000" w:themeColor="text1"/>
        </w:rPr>
        <w:t>one percent of its mileage in South Carolina in each year for a five</w:t>
      </w:r>
      <w:r>
        <w:rPr>
          <w:color w:val="000000" w:themeColor="text1"/>
          <w:u w:color="000000" w:themeColor="text1"/>
        </w:rPr>
        <w:noBreakHyphen/>
      </w:r>
      <w:r w:rsidRPr="00B45FED">
        <w:rPr>
          <w:color w:val="000000" w:themeColor="text1"/>
          <w:u w:color="000000" w:themeColor="text1"/>
        </w:rPr>
        <w:t>year period, and that the vehicle is registered in this State and will remain registered in South Carolina for no less than five years; and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r>
      <w:r w:rsidRPr="00B45FED">
        <w:rPr>
          <w:color w:val="000000" w:themeColor="text1"/>
          <w:u w:color="000000" w:themeColor="text1"/>
        </w:rPr>
        <w:tab/>
        <w:t>(3)</w:t>
      </w:r>
      <w:r w:rsidRPr="00B45FED">
        <w:rPr>
          <w:color w:val="000000" w:themeColor="text1"/>
          <w:u w:color="000000" w:themeColor="text1"/>
        </w:rPr>
        <w:tab/>
        <w:t>any other information requested by the department.</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(G)</w:t>
      </w:r>
      <w:r w:rsidRPr="00B45FED">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Pr>
          <w:color w:val="000000" w:themeColor="text1"/>
          <w:u w:color="000000" w:themeColor="text1"/>
        </w:rPr>
        <w:noBreakHyphen/>
      </w:r>
      <w:r w:rsidRPr="00B45FED">
        <w:rPr>
          <w:color w:val="000000" w:themeColor="text1"/>
          <w:u w:color="000000" w:themeColor="text1"/>
        </w:rPr>
        <w:t>year period following the date of application.</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(H)</w:t>
      </w:r>
      <w:r w:rsidRPr="00B45FED">
        <w:rPr>
          <w:color w:val="000000" w:themeColor="text1"/>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(I)</w:t>
      </w:r>
      <w:r w:rsidRPr="00B45FED">
        <w:rPr>
          <w:color w:val="000000" w:themeColor="text1"/>
          <w:u w:color="000000" w:themeColor="text1"/>
        </w:rPr>
        <w:tab/>
        <w:t xml:space="preserve">The credit authorized by this section is allowed for purchases or conversions made after December 31, </w:t>
      </w:r>
      <w:r>
        <w:rPr>
          <w:color w:val="000000" w:themeColor="text1"/>
          <w:u w:color="000000" w:themeColor="text1"/>
        </w:rPr>
        <w:t>2015, but before January 1, 2021</w:t>
      </w:r>
      <w:r w:rsidRPr="00B45FED">
        <w:rPr>
          <w:color w:val="000000" w:themeColor="text1"/>
          <w:u w:color="000000" w:themeColor="text1"/>
        </w:rPr>
        <w:t>.”</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B.</w:t>
      </w:r>
      <w:r w:rsidRPr="00B45FED">
        <w:rPr>
          <w:color w:val="000000" w:themeColor="text1"/>
          <w:u w:color="000000" w:themeColor="text1"/>
        </w:rPr>
        <w:tab/>
      </w:r>
      <w:r>
        <w:rPr>
          <w:color w:val="000000" w:themeColor="text1"/>
          <w:u w:color="000000" w:themeColor="text1"/>
        </w:rPr>
        <w:t xml:space="preserve"> </w:t>
      </w:r>
      <w:r w:rsidRPr="00B45FED">
        <w:rPr>
          <w:color w:val="000000" w:themeColor="text1"/>
          <w:u w:color="000000" w:themeColor="text1"/>
        </w:rPr>
        <w:t>This SECTION first applies to tax years beginning after 2015.</w:t>
      </w:r>
    </w:p>
    <w:p w:rsidR="007B2C4D" w:rsidRPr="00B45FED"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C9B" w:rsidRPr="00522CE0" w:rsidRDefault="007B2C4D" w:rsidP="007B2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45FED">
        <w:rPr>
          <w:color w:val="000000" w:themeColor="text1"/>
          <w:u w:color="000000" w:themeColor="text1"/>
        </w:rPr>
        <w:t>SECTION</w:t>
      </w:r>
      <w:r w:rsidRPr="00B45FED">
        <w:rPr>
          <w:color w:val="000000" w:themeColor="text1"/>
          <w:u w:color="000000" w:themeColor="text1"/>
        </w:rPr>
        <w:tab/>
      </w:r>
      <w:r>
        <w:rPr>
          <w:color w:val="000000" w:themeColor="text1"/>
          <w:u w:color="000000" w:themeColor="text1"/>
        </w:rPr>
        <w:t>6</w:t>
      </w:r>
      <w:r w:rsidRPr="00B45FED">
        <w:rPr>
          <w:color w:val="000000" w:themeColor="text1"/>
          <w:u w:color="000000" w:themeColor="text1"/>
        </w:rPr>
        <w:t>.</w:t>
      </w:r>
      <w:r w:rsidRPr="00B45FED">
        <w:rPr>
          <w:color w:val="000000" w:themeColor="text1"/>
          <w:u w:color="000000" w:themeColor="text1"/>
        </w:rPr>
        <w:tab/>
        <w:t>This act takes effect upon approval by the Governor.</w:t>
      </w:r>
    </w:p>
    <w:p w:rsidR="002A2AE7" w:rsidRDefault="00CC64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2AF7" w:rsidRDefault="000E2AF7" w:rsidP="000E2AF7">
      <w:pPr>
        <w:suppressAutoHyphens/>
        <w:jc w:val="both"/>
        <w:rPr>
          <w:rFonts w:eastAsia="Times New Roman"/>
        </w:rPr>
      </w:pPr>
    </w:p>
    <w:sectPr w:rsidR="000E2AF7" w:rsidSect="00503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78A" w:rsidRDefault="0050378A" w:rsidP="00522CE0">
      <w:r>
        <w:separator/>
      </w:r>
    </w:p>
  </w:endnote>
  <w:endnote w:type="continuationSeparator" w:id="0">
    <w:p w:rsidR="0050378A" w:rsidRDefault="005037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D60D205-93D7-48C9-9CBA-95DB274936FF}"/>
    <w:embedBold r:id="rId2" w:fontKey="{671D2753-ED6F-4285-9709-A36C43AF2855}"/>
  </w:font>
  <w:font w:name="Calibri">
    <w:panose1 w:val="020F0502020204030204"/>
    <w:charset w:val="00"/>
    <w:family w:val="swiss"/>
    <w:pitch w:val="variable"/>
    <w:sig w:usb0="E00002FF" w:usb1="4000ACFF" w:usb2="00000001" w:usb3="00000000" w:csb0="0000019F" w:csb1="00000000"/>
    <w:embedRegular r:id="rId3" w:fontKey="{48905AFE-FE49-457C-8C52-884306BE05CA}"/>
  </w:font>
  <w:font w:name="Segoe UI">
    <w:panose1 w:val="020B0502040204020203"/>
    <w:charset w:val="00"/>
    <w:family w:val="swiss"/>
    <w:pitch w:val="variable"/>
    <w:sig w:usb0="E10022FF" w:usb1="C000E47F" w:usb2="00000029" w:usb3="00000000" w:csb0="000001DF" w:csb1="00000000"/>
    <w:embedRegular r:id="rId4" w:fontKey="{23999F88-6B4D-4C00-A3CA-3332BAC740AB}"/>
  </w:font>
  <w:font w:name="Cambria">
    <w:panose1 w:val="02040503050406030204"/>
    <w:charset w:val="00"/>
    <w:family w:val="roman"/>
    <w:pitch w:val="variable"/>
    <w:sig w:usb0="E00002FF" w:usb1="400004FF" w:usb2="00000000" w:usb3="00000000" w:csb0="0000019F" w:csb1="00000000"/>
    <w:embedRegular r:id="rId5" w:fontKey="{44E64F42-456C-4539-A1A3-1C48A38770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fldChar w:fldCharType="begin"/>
    </w:r>
    <w:r>
      <w:instrText xml:space="preserve"> PAGE  \* MERGEFORMAT </w:instrText>
    </w:r>
    <w:r>
      <w:fldChar w:fldCharType="separate"/>
    </w:r>
    <w:r w:rsidR="000E2A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0E2A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78A" w:rsidRDefault="0050378A" w:rsidP="00522CE0">
      <w:r>
        <w:separator/>
      </w:r>
    </w:p>
  </w:footnote>
  <w:footnote w:type="continuationSeparator" w:id="0">
    <w:p w:rsidR="0050378A" w:rsidRDefault="0050378A"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F7032"/>
    <w:multiLevelType w:val="hybridMultilevel"/>
    <w:tmpl w:val="206C2BBE"/>
    <w:lvl w:ilvl="0" w:tplc="45AAE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7646CC"/>
    <w:multiLevelType w:val="hybridMultilevel"/>
    <w:tmpl w:val="113EDC22"/>
    <w:lvl w:ilvl="0" w:tplc="3F46DF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640C4"/>
    <w:multiLevelType w:val="hybridMultilevel"/>
    <w:tmpl w:val="C35AC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NATU.DMR.PGC"/>
    <w:docVar w:name="CoverAttorneyInitials" w:val="DMR"/>
    <w:docVar w:name="CoverAttorneyLastName" w:val="Daina Riley"/>
    <w:docVar w:name="CoverBillType" w:val="b"/>
    <w:docVar w:name="CoverSenator" w:val="PGC"/>
    <w:docVar w:name="dvBillNumber" w:val="1075"/>
    <w:docVar w:name="dvBillNumberPrefix" w:val="S. "/>
    <w:docVar w:name="dvOriginalBody" w:val="Senate"/>
    <w:docVar w:name="fulldraftpath" w:val="L:\S-RES\PGC\016NATU.DMR.PGC.DOCX"/>
    <w:docVar w:name="NameofBody" w:val="S"/>
    <w:docVar w:name="vgroup2" w:val="S-RES"/>
  </w:docVars>
  <w:rsids>
    <w:rsidRoot w:val="00FF2C9B"/>
    <w:rsid w:val="00035760"/>
    <w:rsid w:val="00042AC1"/>
    <w:rsid w:val="00046516"/>
    <w:rsid w:val="00066CFF"/>
    <w:rsid w:val="0007601D"/>
    <w:rsid w:val="000A7FD9"/>
    <w:rsid w:val="000B0720"/>
    <w:rsid w:val="000B5EAF"/>
    <w:rsid w:val="000C39B0"/>
    <w:rsid w:val="000D60AF"/>
    <w:rsid w:val="000E2AF7"/>
    <w:rsid w:val="001315B2"/>
    <w:rsid w:val="00170561"/>
    <w:rsid w:val="00186AC9"/>
    <w:rsid w:val="00197DF1"/>
    <w:rsid w:val="001B3DD9"/>
    <w:rsid w:val="001B7E5D"/>
    <w:rsid w:val="001D3BAC"/>
    <w:rsid w:val="00216025"/>
    <w:rsid w:val="00245C4E"/>
    <w:rsid w:val="002A2AE7"/>
    <w:rsid w:val="002B5695"/>
    <w:rsid w:val="002C1321"/>
    <w:rsid w:val="002C2031"/>
    <w:rsid w:val="002C5896"/>
    <w:rsid w:val="002D3BED"/>
    <w:rsid w:val="00307C2B"/>
    <w:rsid w:val="00315D04"/>
    <w:rsid w:val="00325BA0"/>
    <w:rsid w:val="00383247"/>
    <w:rsid w:val="003B5AE4"/>
    <w:rsid w:val="003D6E2B"/>
    <w:rsid w:val="003E7597"/>
    <w:rsid w:val="003F7DD0"/>
    <w:rsid w:val="0044020F"/>
    <w:rsid w:val="00450668"/>
    <w:rsid w:val="00480445"/>
    <w:rsid w:val="004813A2"/>
    <w:rsid w:val="004952FA"/>
    <w:rsid w:val="004B6A22"/>
    <w:rsid w:val="004D7F37"/>
    <w:rsid w:val="004F53AF"/>
    <w:rsid w:val="0050378A"/>
    <w:rsid w:val="005166BD"/>
    <w:rsid w:val="00522CE0"/>
    <w:rsid w:val="005430BE"/>
    <w:rsid w:val="00565148"/>
    <w:rsid w:val="00570403"/>
    <w:rsid w:val="00593361"/>
    <w:rsid w:val="005A413B"/>
    <w:rsid w:val="005A5017"/>
    <w:rsid w:val="005A648C"/>
    <w:rsid w:val="005B6D50"/>
    <w:rsid w:val="005F1745"/>
    <w:rsid w:val="00632E7E"/>
    <w:rsid w:val="006A1802"/>
    <w:rsid w:val="006C74EA"/>
    <w:rsid w:val="00720D40"/>
    <w:rsid w:val="007318D4"/>
    <w:rsid w:val="00765784"/>
    <w:rsid w:val="007853A9"/>
    <w:rsid w:val="007A0D62"/>
    <w:rsid w:val="007A4390"/>
    <w:rsid w:val="007B2C4D"/>
    <w:rsid w:val="007C2BAC"/>
    <w:rsid w:val="007E5CB7"/>
    <w:rsid w:val="008314D2"/>
    <w:rsid w:val="0085429A"/>
    <w:rsid w:val="00892A14"/>
    <w:rsid w:val="008B2F42"/>
    <w:rsid w:val="008C3697"/>
    <w:rsid w:val="008E185F"/>
    <w:rsid w:val="008F023B"/>
    <w:rsid w:val="009049D4"/>
    <w:rsid w:val="00904E16"/>
    <w:rsid w:val="0090608C"/>
    <w:rsid w:val="009162B3"/>
    <w:rsid w:val="00927C62"/>
    <w:rsid w:val="00983951"/>
    <w:rsid w:val="00984124"/>
    <w:rsid w:val="00984640"/>
    <w:rsid w:val="00995C37"/>
    <w:rsid w:val="009C118A"/>
    <w:rsid w:val="00A02011"/>
    <w:rsid w:val="00A4011E"/>
    <w:rsid w:val="00A86015"/>
    <w:rsid w:val="00A9594E"/>
    <w:rsid w:val="00AA77CD"/>
    <w:rsid w:val="00AE59C8"/>
    <w:rsid w:val="00B10098"/>
    <w:rsid w:val="00B5790D"/>
    <w:rsid w:val="00B72DA0"/>
    <w:rsid w:val="00B945C5"/>
    <w:rsid w:val="00BA20EA"/>
    <w:rsid w:val="00BB362F"/>
    <w:rsid w:val="00BB5AFC"/>
    <w:rsid w:val="00BC0A56"/>
    <w:rsid w:val="00C45366"/>
    <w:rsid w:val="00C57023"/>
    <w:rsid w:val="00C74052"/>
    <w:rsid w:val="00CB187A"/>
    <w:rsid w:val="00CB7008"/>
    <w:rsid w:val="00CC0EC7"/>
    <w:rsid w:val="00CC64F5"/>
    <w:rsid w:val="00D1088B"/>
    <w:rsid w:val="00D14DE6"/>
    <w:rsid w:val="00D156D2"/>
    <w:rsid w:val="00D35486"/>
    <w:rsid w:val="00D53E29"/>
    <w:rsid w:val="00D7222A"/>
    <w:rsid w:val="00D86943"/>
    <w:rsid w:val="00DA47B9"/>
    <w:rsid w:val="00DE5635"/>
    <w:rsid w:val="00E058D3"/>
    <w:rsid w:val="00E2236D"/>
    <w:rsid w:val="00E4518E"/>
    <w:rsid w:val="00E76AD9"/>
    <w:rsid w:val="00E91E2F"/>
    <w:rsid w:val="00EA3546"/>
    <w:rsid w:val="00EB47AE"/>
    <w:rsid w:val="00EC34E1"/>
    <w:rsid w:val="00F0234A"/>
    <w:rsid w:val="00F05CF2"/>
    <w:rsid w:val="00F51241"/>
    <w:rsid w:val="00F52959"/>
    <w:rsid w:val="00F54E71"/>
    <w:rsid w:val="00F55884"/>
    <w:rsid w:val="00FB7F01"/>
    <w:rsid w:val="00FC0D36"/>
    <w:rsid w:val="00FE6467"/>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E17DA97-1848-4B32-AC35-EDEA934F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3B5AE4"/>
  </w:style>
  <w:style w:type="paragraph" w:styleId="BalloonText">
    <w:name w:val="Balloon Text"/>
    <w:basedOn w:val="Normal"/>
    <w:link w:val="BalloonTextChar"/>
    <w:uiPriority w:val="99"/>
    <w:semiHidden/>
    <w:unhideWhenUsed/>
    <w:rsid w:val="005B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D180B5B.dotm</Template>
  <TotalTime>0</TotalTime>
  <Pages>9</Pages>
  <Words>2696</Words>
  <Characters>14076</Characters>
  <Application>Microsoft Office Word</Application>
  <DocSecurity>0</DocSecurity>
  <Lines>345</Lines>
  <Paragraphs>74</Paragraphs>
  <ScaleCrop>false</ScaleCrop>
  <HeadingPairs>
    <vt:vector size="2" baseType="variant">
      <vt:variant>
        <vt:lpstr>Title</vt:lpstr>
      </vt:variant>
      <vt:variant>
        <vt:i4>1</vt:i4>
      </vt:variant>
    </vt:vector>
  </HeadingPairs>
  <TitlesOfParts>
    <vt:vector size="1" baseType="lpstr">
      <vt:lpstr>2015-2016 Bill 1075 Text of Previous Version (Feb. 10, 2016) - South Carolina Legislature Online</vt:lpstr>
    </vt:vector>
  </TitlesOfParts>
  <Company> </Company>
  <LinksUpToDate>false</LinksUpToDate>
  <CharactersWithSpaces>16806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1075 Text of Previous Version (Apr. 7, 2016) - South Carolina Legislature Online</dc:title>
  <dc:subject/>
  <dc:creator>%USERNAME%</dc:creator>
  <cp:keywords/>
  <dc:description/>
  <cp:lastModifiedBy>Brent Walling</cp:lastModifiedBy>
  <cp:revision>2</cp:revision>
  <cp:lastPrinted>2016-03-24T00:11:00Z</cp:lastPrinted>
  <dcterms:created xsi:type="dcterms:W3CDTF">2016-04-07T17:18:00Z</dcterms:created>
  <dcterms:modified xsi:type="dcterms:W3CDTF">2016-04-07T17:18:00Z</dcterms:modified>
</cp:coreProperties>
</file>