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E0AA1" w:rsidRP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336" w:rsidRDefault="009C2336" w:rsidP="00FE0AA1">
      <w:pPr>
        <w:tabs>
          <w:tab w:val="right" w:pos="5933"/>
        </w:tabs>
        <w:suppressAutoHyphens/>
        <w:jc w:val="both"/>
        <w:rPr>
          <w:rFonts w:eastAsia="Times New Roman"/>
        </w:rPr>
      </w:pPr>
      <w:r>
        <w:rPr>
          <w:rFonts w:eastAsia="Times New Roman"/>
        </w:rPr>
        <w:t>AS PASSED BY THE SENATE</w:t>
      </w:r>
    </w:p>
    <w:p w:rsidR="009C2336" w:rsidRDefault="009C2336" w:rsidP="00FE0AA1">
      <w:pPr>
        <w:tabs>
          <w:tab w:val="right" w:pos="5933"/>
        </w:tabs>
        <w:suppressAutoHyphens/>
        <w:jc w:val="both"/>
        <w:rPr>
          <w:rFonts w:eastAsia="Times New Roman"/>
        </w:rPr>
      </w:pPr>
      <w:r>
        <w:rPr>
          <w:rFonts w:eastAsia="Times New Roman"/>
        </w:rPr>
        <w:t>February 5, 2015</w:t>
      </w:r>
    </w:p>
    <w:p w:rsidR="009C2336" w:rsidRDefault="009C2336" w:rsidP="00FE0AA1">
      <w:pPr>
        <w:tabs>
          <w:tab w:val="right" w:pos="5933"/>
        </w:tabs>
        <w:suppressAutoHyphens/>
        <w:jc w:val="both"/>
        <w:rPr>
          <w:rFonts w:eastAsia="Times New Roman"/>
        </w:rPr>
      </w:pPr>
    </w:p>
    <w:p w:rsidR="00FE0AA1" w:rsidRPr="00FE0AA1" w:rsidRDefault="00FE0AA1" w:rsidP="00FE0AA1">
      <w:pPr>
        <w:tabs>
          <w:tab w:val="right" w:pos="5933"/>
        </w:tabs>
        <w:suppressAutoHyphens/>
        <w:jc w:val="both"/>
        <w:rPr>
          <w:rFonts w:eastAsia="Times New Roman"/>
        </w:rPr>
      </w:pPr>
      <w:r>
        <w:rPr>
          <w:rFonts w:eastAsia="Times New Roman"/>
        </w:rPr>
        <w:tab/>
      </w:r>
      <w:r>
        <w:rPr>
          <w:rFonts w:eastAsia="Times New Roman"/>
          <w:b/>
          <w:sz w:val="36"/>
        </w:rPr>
        <w:t>S. 10</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Peeler, Courson and Campsen</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0E26F8" w:rsidP="009E404D">
      <w:pPr>
        <w:tabs>
          <w:tab w:val="right" w:pos="5933"/>
        </w:tabs>
        <w:suppressAutoHyphens/>
        <w:jc w:val="both"/>
        <w:rPr>
          <w:rFonts w:eastAsia="Times New Roman"/>
        </w:rPr>
      </w:pPr>
      <w:r>
        <w:rPr>
          <w:rFonts w:eastAsia="Times New Roman"/>
        </w:rPr>
        <w:t xml:space="preserve">S. Printed </w:t>
      </w:r>
      <w:r w:rsidR="009C2336">
        <w:rPr>
          <w:rFonts w:eastAsia="Times New Roman"/>
        </w:rPr>
        <w:t>2/5</w:t>
      </w:r>
      <w:r w:rsidR="00FE0AA1">
        <w:rPr>
          <w:rFonts w:eastAsia="Times New Roman"/>
        </w:rPr>
        <w:t>/15--S.</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E0AA1" w:rsidRDefault="00FE0AA1"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0AA1" w:rsidSect="00FE0A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7AB6" w:rsidRDefault="00BA7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92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bookmarkEnd w:id="1"/>
    </w:p>
    <w:p w:rsidR="009920D1"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E26F8"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30-4-40(a)(18)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“(18)</w:t>
      </w:r>
      <w:r>
        <w:rPr>
          <w:color w:val="000000" w:themeColor="text1"/>
        </w:rPr>
        <w:tab/>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rPr>
        <w:noBreakHyphen/>
        <w:t>5</w:t>
      </w:r>
      <w:r>
        <w:rPr>
          <w:color w:val="000000" w:themeColor="text1"/>
        </w:rPr>
        <w:noBreakHyphen/>
        <w:t>535 for the purposes contemplated or provided for in that section</w:t>
      </w:r>
      <w:r>
        <w:rPr>
          <w:color w:val="000000" w:themeColor="text1"/>
          <w:u w:val="single"/>
        </w:rPr>
        <w:t>; provided, however, this exemption does not apply to reports prepared pursuant to Section 17-5-560(B)</w:t>
      </w:r>
      <w:r>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30-4-50(A)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“(A)</w:t>
      </w:r>
      <w:r>
        <w:rPr>
          <w:color w:val="000000" w:themeColor="text1"/>
        </w:rPr>
        <w:tab/>
        <w:t xml:space="preserve">Without limiting the meaning of other sections of this chapter, the following categories of information are specifically </w:t>
      </w:r>
      <w:r>
        <w:rPr>
          <w:color w:val="000000" w:themeColor="text1"/>
        </w:rPr>
        <w:lastRenderedPageBreak/>
        <w:t>made public information subject to the restrictions and limitations of Sections 30</w:t>
      </w:r>
      <w:r>
        <w:rPr>
          <w:color w:val="000000" w:themeColor="text1"/>
        </w:rPr>
        <w:noBreakHyphen/>
        <w:t>4</w:t>
      </w:r>
      <w:r>
        <w:rPr>
          <w:color w:val="000000" w:themeColor="text1"/>
        </w:rPr>
        <w:noBreakHyphen/>
        <w:t>20, 30</w:t>
      </w:r>
      <w:r>
        <w:rPr>
          <w:color w:val="000000" w:themeColor="text1"/>
        </w:rPr>
        <w:noBreakHyphen/>
        <w:t>4</w:t>
      </w:r>
      <w:r>
        <w:rPr>
          <w:color w:val="000000" w:themeColor="text1"/>
        </w:rPr>
        <w:noBreakHyphen/>
        <w:t>40, and 30</w:t>
      </w:r>
      <w:r>
        <w:rPr>
          <w:color w:val="000000" w:themeColor="text1"/>
        </w:rPr>
        <w:noBreakHyphen/>
        <w:t>4</w:t>
      </w:r>
      <w:r>
        <w:rPr>
          <w:color w:val="000000" w:themeColor="text1"/>
        </w:rPr>
        <w:noBreakHyphen/>
        <w:t>70 of this chapter:</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the names, sex, race, title, and dates of employment of all employees and officers of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administrative staff manuals and instructions to staff that affect a member of the public;</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final opinions, including concurring and dissenting opinions, as well as orders, made in the adjudication of cases;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(4)</w:t>
      </w:r>
      <w:r>
        <w:rPr>
          <w:color w:val="000000" w:themeColor="text1"/>
        </w:rPr>
        <w:tab/>
        <w:t>those statements of policy and interpretations of policy, statute, and the Constitution which have been adopted by the public body;</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(5)</w:t>
      </w:r>
      <w:r>
        <w:rPr>
          <w:color w:val="000000" w:themeColor="text1"/>
        </w:rPr>
        <w:tab/>
        <w:t>written planning policies and goals and final planning decisions;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(6)</w:t>
      </w:r>
      <w:r>
        <w:rPr>
          <w:color w:val="000000" w:themeColor="text1"/>
        </w:rPr>
        <w:tab/>
        <w:t>information in or taken from any account, voucher, or contract dealing with the receipt or expenditure of public or other funds by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the minutes of all proceedings of all public bodies and all votes at such proceedings, with the exception of all such minutes and votes taken at meetings closed to the public pursuant to Section 30</w:t>
      </w:r>
      <w:r>
        <w:rPr>
          <w:color w:val="000000" w:themeColor="text1"/>
        </w:rPr>
        <w:noBreakHyphen/>
        <w:t>4</w:t>
      </w:r>
      <w:r>
        <w:rPr>
          <w:color w:val="000000" w:themeColor="text1"/>
        </w:rPr>
        <w:noBreakHyphen/>
        <w:t>70;</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statistical and other empirical findings considered by the Legislative Audit Council in the development of an audit report.</w:t>
      </w:r>
    </w:p>
    <w:p w:rsidR="000E26F8" w:rsidRPr="00E148C7" w:rsidRDefault="009C2336"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snapToGrid w:val="0"/>
          <w:szCs w:val="20"/>
        </w:rPr>
        <w:tab/>
      </w:r>
      <w:r>
        <w:rPr>
          <w:rFonts w:eastAsia="Times New Roman"/>
          <w:snapToGrid w:val="0"/>
          <w:szCs w:val="20"/>
        </w:rPr>
        <w:tab/>
      </w:r>
      <w:r w:rsidRPr="008724C9">
        <w:rPr>
          <w:rFonts w:eastAsia="Times New Roman"/>
          <w:snapToGrid w:val="0"/>
          <w:szCs w:val="20"/>
          <w:u w:val="single"/>
        </w:rPr>
        <w:t>(10)</w:t>
      </w:r>
      <w:r w:rsidRPr="008724C9">
        <w:rPr>
          <w:rFonts w:eastAsia="Times New Roman"/>
          <w:snapToGrid w:val="0"/>
          <w:szCs w:val="20"/>
        </w:rPr>
        <w:tab/>
      </w:r>
      <w:r w:rsidRPr="008724C9">
        <w:rPr>
          <w:rFonts w:eastAsia="Times New Roman"/>
          <w:snapToGrid w:val="0"/>
          <w:szCs w:val="20"/>
          <w:u w:val="single"/>
        </w:rPr>
        <w:t>reports as to the cause of death of a person examined by autopsy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w:t>
      </w:r>
      <w:r>
        <w:rPr>
          <w:rFonts w:eastAsia="Times New Roman"/>
          <w:snapToGrid w:val="0"/>
          <w:szCs w:val="20"/>
          <w:u w:val="single"/>
        </w:rPr>
        <w:t xml:space="preserve">  </w:t>
      </w:r>
      <w:r w:rsidRPr="008724C9">
        <w:rPr>
          <w:rFonts w:eastAsia="Times New Roman"/>
          <w:snapToGrid w:val="0"/>
          <w:szCs w:val="20"/>
          <w:u w:val="single"/>
        </w:rPr>
        <w:t>However, a law enforcement or public safety agency may apply to the circuit court for injunctive relief to prevent the disclosure of a report prepared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 if the agency establishes that the disclosure would harm the agency for one or more of the reasons provided in Section 30</w:t>
      </w:r>
      <w:r>
        <w:rPr>
          <w:rFonts w:eastAsia="Times New Roman"/>
          <w:snapToGrid w:val="0"/>
          <w:szCs w:val="20"/>
          <w:u w:val="single"/>
        </w:rPr>
        <w:noBreakHyphen/>
      </w:r>
      <w:r w:rsidRPr="008724C9">
        <w:rPr>
          <w:rFonts w:eastAsia="Times New Roman"/>
          <w:snapToGrid w:val="0"/>
          <w:szCs w:val="20"/>
          <w:u w:val="single"/>
        </w:rPr>
        <w:t>4</w:t>
      </w:r>
      <w:r>
        <w:rPr>
          <w:rFonts w:eastAsia="Times New Roman"/>
          <w:snapToGrid w:val="0"/>
          <w:szCs w:val="20"/>
          <w:u w:val="single"/>
        </w:rPr>
        <w:noBreakHyphen/>
      </w:r>
      <w:r w:rsidRPr="008724C9">
        <w:rPr>
          <w:rFonts w:eastAsia="Times New Roman"/>
          <w:snapToGrid w:val="0"/>
          <w:szCs w:val="20"/>
          <w:u w:val="single"/>
        </w:rPr>
        <w:t>40(a)(3)(A)</w:t>
      </w:r>
      <w:r>
        <w:rPr>
          <w:rFonts w:eastAsia="Times New Roman"/>
          <w:snapToGrid w:val="0"/>
          <w:szCs w:val="20"/>
          <w:u w:val="single"/>
        </w:rPr>
        <w:noBreakHyphen/>
      </w:r>
      <w:r w:rsidRPr="008724C9">
        <w:rPr>
          <w:rFonts w:eastAsia="Times New Roman"/>
          <w:snapToGrid w:val="0"/>
          <w:szCs w:val="20"/>
          <w:u w:val="single"/>
        </w:rPr>
        <w:t>(D). The agency requesting injunctive relief under this subsection must provide reasonable notice of the hearing to the person or entity requesting disclosure and the court must allow the person or entity requesting disclosure an opportunity to be heard. The court must hold the hearing as soon as practicable, but not later than ten days from the date of filing. An order preventing the disclosure of a report prepared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 is valid for up to thirty days and may be renewed.</w:t>
      </w:r>
      <w:r>
        <w:rPr>
          <w:rFonts w:eastAsia="Times New Roman"/>
          <w:snapToGrid w:val="0"/>
          <w:szCs w:val="20"/>
          <w:u w:val="single"/>
        </w:rPr>
        <w:t xml:space="preserve">  Information obtained pursuant to this subsection shall not be used for commercial or financial gain or in a manner that exploits </w:t>
      </w:r>
      <w:r>
        <w:rPr>
          <w:rFonts w:eastAsia="Times New Roman"/>
          <w:snapToGrid w:val="0"/>
          <w:szCs w:val="20"/>
          <w:u w:val="single"/>
        </w:rPr>
        <w:lastRenderedPageBreak/>
        <w:t>the nature or cause of death, provided, however, this prohibition does not apply if the information is disseminated to the public as part of a news report.</w:t>
      </w:r>
      <w:r w:rsidRPr="00A0113C">
        <w:rPr>
          <w:rFonts w:eastAsia="Times New Roman"/>
          <w:snapToGrid w:val="0"/>
          <w:szCs w:val="20"/>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17-5-560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tab/>
        <w:t>17</w:t>
      </w:r>
      <w:r>
        <w:noBreakHyphen/>
        <w:t>5</w:t>
      </w:r>
      <w:r>
        <w:noBreakHyphen/>
        <w:t>560.</w:t>
      </w:r>
      <w:r>
        <w:tab/>
      </w:r>
      <w:r>
        <w:tab/>
        <w:t>(A)</w:t>
      </w:r>
      <w:r>
        <w:tab/>
        <w:t>The coroner, deputy coroner, medical examiner, or deputy medical examiner must, in any case investigated, complete and sign the medical certification portion of the death certificate within twenty</w:t>
      </w:r>
      <w:r>
        <w:noBreakHyphen/>
        <w:t>four hours after being notified of the death.</w:t>
      </w:r>
    </w:p>
    <w:p w:rsidR="000E26F8" w:rsidRPr="00E148C7" w:rsidRDefault="009C2336"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80F6F">
        <w:tab/>
      </w:r>
      <w:r w:rsidRPr="00380F6F">
        <w:rPr>
          <w:u w:val="single"/>
        </w:rPr>
        <w:t>(B)</w:t>
      </w:r>
      <w:r w:rsidRPr="00380F6F">
        <w:tab/>
      </w:r>
      <w:r w:rsidRPr="00380F6F">
        <w:rPr>
          <w:u w:val="single"/>
        </w:rPr>
        <w:t xml:space="preserve">The coroner, deputy coroner, medical examiner, or deputy medical examiner must, in any case investigated by autopsy, complete and sign a cause of death report as soon as practicable but no later than seventy-two hours after completion of the </w:t>
      </w:r>
      <w:r>
        <w:rPr>
          <w:u w:val="single"/>
        </w:rPr>
        <w:t xml:space="preserve">final </w:t>
      </w:r>
      <w:r w:rsidRPr="00380F6F">
        <w:rPr>
          <w:u w:val="single"/>
        </w:rPr>
        <w:t>autopsy</w:t>
      </w:r>
      <w:r>
        <w:rPr>
          <w:u w:val="single"/>
        </w:rPr>
        <w:t xml:space="preserve"> report</w:t>
      </w:r>
      <w:r w:rsidRPr="00380F6F">
        <w:rPr>
          <w:u w:val="single"/>
        </w:rPr>
        <w:t xml:space="preserve">.  The </w:t>
      </w:r>
      <w:r>
        <w:rPr>
          <w:u w:val="single"/>
        </w:rPr>
        <w:t xml:space="preserve">cause of death </w:t>
      </w:r>
      <w:r w:rsidRPr="00380F6F">
        <w:rPr>
          <w:u w:val="single"/>
        </w:rPr>
        <w:t>report must include: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1)</w:t>
      </w:r>
      <w:r>
        <w:tab/>
      </w:r>
      <w:r w:rsidRPr="00E148C7">
        <w:rPr>
          <w:u w:val="single"/>
        </w:rPr>
        <w:t>the decedent’s name;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2)</w:t>
      </w:r>
      <w:r w:rsidRPr="00E148C7">
        <w:tab/>
      </w:r>
      <w:r w:rsidRPr="00E148C7">
        <w:rPr>
          <w:u w:val="single"/>
        </w:rPr>
        <w:t>the decedent’s date of birth;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3)</w:t>
      </w:r>
      <w:r w:rsidRPr="00E148C7">
        <w:tab/>
      </w:r>
      <w:r w:rsidRPr="00E148C7">
        <w:rPr>
          <w:u w:val="single"/>
        </w:rPr>
        <w:t>the location of the decedent’s death;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4)</w:t>
      </w:r>
      <w:r w:rsidRPr="00E148C7">
        <w:tab/>
      </w:r>
      <w:r w:rsidRPr="00E148C7">
        <w:rPr>
          <w:u w:val="single"/>
        </w:rPr>
        <w:t>the date of the decedent’s death; and</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5)</w:t>
      </w:r>
      <w:r w:rsidRPr="00E148C7">
        <w:tab/>
      </w:r>
      <w:r w:rsidRPr="00E148C7">
        <w:rPr>
          <w:u w:val="single"/>
        </w:rPr>
        <w:t>the cause and manner of the decedent’s death.</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Pr>
          <w:u w:val="single"/>
        </w:rPr>
        <w:t>(C)</w:t>
      </w:r>
      <w:r>
        <w:tab/>
        <w:t>The coroner or medical examiner must, at the time of releasing a body to a funeral director or person acting as a funeral director, or as soon as practical after releasing the body, execute and sign the medical certification of the cause of death on the prescribed form.</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(D)</w:t>
      </w:r>
      <w:r>
        <w:tab/>
        <w:t>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strike/>
        </w:rPr>
        <w:t>(D)</w:t>
      </w:r>
      <w:r>
        <w:rPr>
          <w:u w:val="single"/>
        </w:rPr>
        <w:t>(E)</w:t>
      </w:r>
      <w:r>
        <w:tab/>
        <w:t>As used in this section, the terms ‘sign’, ‘signed’, or ‘signature’ mean a written signature or an electronic signature authorized in the Electronic Commerce Act, Chapter 5, Title 26.”</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4.</w:t>
      </w:r>
      <w:r>
        <w:rPr>
          <w:rFonts w:eastAsia="Times New Roman"/>
        </w:rPr>
        <w:tab/>
        <w:t>This act takes effect upon approval by the Governor.</w:t>
      </w:r>
    </w:p>
    <w:p w:rsidR="00AF3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0736" w:rsidRDefault="00430736" w:rsidP="00430736">
      <w:pPr>
        <w:suppressAutoHyphens/>
        <w:jc w:val="both"/>
        <w:rPr>
          <w:rFonts w:eastAsia="Times New Roman"/>
        </w:rPr>
      </w:pPr>
    </w:p>
    <w:sectPr w:rsidR="00430736" w:rsidSect="00FE0A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5BDADE-771A-456E-B6B0-59D72E0F9EA5}"/>
    <w:embedBold r:id="rId2" w:fontKey="{DFA380A8-AF98-472F-8496-248F1C9636A6}"/>
  </w:font>
  <w:font w:name="Calibri">
    <w:panose1 w:val="020F0502020204030204"/>
    <w:charset w:val="00"/>
    <w:family w:val="swiss"/>
    <w:pitch w:val="variable"/>
    <w:sig w:usb0="E10002FF" w:usb1="4000ACFF" w:usb2="00000009" w:usb3="00000000" w:csb0="0000019F" w:csb1="00000000"/>
    <w:embedRegular r:id="rId3" w:fontKey="{669DF2E6-9BCC-47C6-9DB7-778E45505385}"/>
  </w:font>
  <w:font w:name="Segoe UI">
    <w:panose1 w:val="020B0502040204020203"/>
    <w:charset w:val="00"/>
    <w:family w:val="swiss"/>
    <w:pitch w:val="variable"/>
    <w:sig w:usb0="E10022FF" w:usb1="C000E47F" w:usb2="00000029" w:usb3="00000000" w:csb0="000001DF" w:csb1="00000000"/>
    <w:embedRegular r:id="rId4" w:fontKey="{A54CD250-94B6-4272-9168-EA18B4E7DDD1}"/>
  </w:font>
  <w:font w:name="Cambria">
    <w:panose1 w:val="02040503050406030204"/>
    <w:charset w:val="00"/>
    <w:family w:val="roman"/>
    <w:pitch w:val="variable"/>
    <w:sig w:usb0="E00002FF" w:usb1="400004FF" w:usb2="00000000" w:usb3="00000000" w:csb0="0000019F" w:csb1="00000000"/>
    <w:embedRegular r:id="rId5" w:fontKey="{0D13C377-6F83-47DC-B8C1-DA7AE4343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5E" w:rsidRPr="00BA7AB6" w:rsidRDefault="00BA7AB6" w:rsidP="00BA7AB6">
    <w:pPr>
      <w:pStyle w:val="Footer"/>
      <w:tabs>
        <w:tab w:val="clear" w:pos="4680"/>
        <w:tab w:val="clear" w:pos="9360"/>
        <w:tab w:val="center" w:pos="2995"/>
      </w:tabs>
      <w:spacing w:before="120"/>
    </w:pPr>
    <w:r>
      <w:t>[10</w:t>
    </w:r>
    <w:r w:rsidR="00FE0AA1">
      <w:t>-</w:t>
    </w:r>
    <w:r w:rsidR="00FE0AA1">
      <w:fldChar w:fldCharType="begin"/>
    </w:r>
    <w:r w:rsidR="00FE0AA1">
      <w:instrText xml:space="preserve"> PAGE  \* MERGEFORMAT </w:instrText>
    </w:r>
    <w:r w:rsidR="00FE0AA1">
      <w:fldChar w:fldCharType="separate"/>
    </w:r>
    <w:r w:rsidR="00430736">
      <w:rPr>
        <w:noProof/>
      </w:rPr>
      <w:t>1</w:t>
    </w:r>
    <w:r w:rsidR="00FE0AA1">
      <w:fldChar w:fldCharType="end"/>
    </w:r>
    <w:r w:rsidR="00FE0A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A1" w:rsidRPr="00BA7AB6" w:rsidRDefault="00FE0AA1"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4307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42AC1"/>
    <w:rsid w:val="00046516"/>
    <w:rsid w:val="000A4D08"/>
    <w:rsid w:val="000A6988"/>
    <w:rsid w:val="000B0720"/>
    <w:rsid w:val="000B5EAF"/>
    <w:rsid w:val="000E26F8"/>
    <w:rsid w:val="000E473B"/>
    <w:rsid w:val="000F002B"/>
    <w:rsid w:val="000F6990"/>
    <w:rsid w:val="00107C3D"/>
    <w:rsid w:val="0011187F"/>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1234"/>
    <w:rsid w:val="00364389"/>
    <w:rsid w:val="003D6A5D"/>
    <w:rsid w:val="003D6E2B"/>
    <w:rsid w:val="003E7597"/>
    <w:rsid w:val="00412C9E"/>
    <w:rsid w:val="0042257B"/>
    <w:rsid w:val="00430736"/>
    <w:rsid w:val="00442ABD"/>
    <w:rsid w:val="00450668"/>
    <w:rsid w:val="00452CD7"/>
    <w:rsid w:val="00477696"/>
    <w:rsid w:val="004952FA"/>
    <w:rsid w:val="004A05F7"/>
    <w:rsid w:val="004A592F"/>
    <w:rsid w:val="004B6A22"/>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97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804AE"/>
    <w:rsid w:val="00894939"/>
    <w:rsid w:val="008B2F42"/>
    <w:rsid w:val="008E185F"/>
    <w:rsid w:val="008E5870"/>
    <w:rsid w:val="008F023B"/>
    <w:rsid w:val="008F7524"/>
    <w:rsid w:val="00904E16"/>
    <w:rsid w:val="00927C62"/>
    <w:rsid w:val="00931A96"/>
    <w:rsid w:val="00983951"/>
    <w:rsid w:val="00984124"/>
    <w:rsid w:val="00984640"/>
    <w:rsid w:val="009920D1"/>
    <w:rsid w:val="00995C37"/>
    <w:rsid w:val="009A7B72"/>
    <w:rsid w:val="009C118A"/>
    <w:rsid w:val="009C2336"/>
    <w:rsid w:val="009E404D"/>
    <w:rsid w:val="009F1A29"/>
    <w:rsid w:val="00A02011"/>
    <w:rsid w:val="00A35165"/>
    <w:rsid w:val="00A4011E"/>
    <w:rsid w:val="00A41565"/>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C23348"/>
    <w:rsid w:val="00C6454A"/>
    <w:rsid w:val="00C74052"/>
    <w:rsid w:val="00CB187A"/>
    <w:rsid w:val="00CD7C71"/>
    <w:rsid w:val="00D1088B"/>
    <w:rsid w:val="00D156D2"/>
    <w:rsid w:val="00D77EC0"/>
    <w:rsid w:val="00D86943"/>
    <w:rsid w:val="00DA47B9"/>
    <w:rsid w:val="00DD1A40"/>
    <w:rsid w:val="00E677A1"/>
    <w:rsid w:val="00E91E2F"/>
    <w:rsid w:val="00EA3546"/>
    <w:rsid w:val="00EB1AAC"/>
    <w:rsid w:val="00EB25F6"/>
    <w:rsid w:val="00EB47AE"/>
    <w:rsid w:val="00EC34E1"/>
    <w:rsid w:val="00ED0AE1"/>
    <w:rsid w:val="00EF2261"/>
    <w:rsid w:val="00F0234A"/>
    <w:rsid w:val="00F52959"/>
    <w:rsid w:val="00F532D4"/>
    <w:rsid w:val="00F55884"/>
    <w:rsid w:val="00F56F88"/>
    <w:rsid w:val="00F82578"/>
    <w:rsid w:val="00FB5399"/>
    <w:rsid w:val="00FC0450"/>
    <w:rsid w:val="00FC0D36"/>
    <w:rsid w:val="00FC536C"/>
    <w:rsid w:val="00FE0AA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361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2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D032AF50.dotm</Template>
  <TotalTime>0</TotalTime>
  <Pages>5</Pages>
  <Words>1013</Words>
  <Characters>5242</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2015-2016 Bill 10 Text of Previous Version (Dec. 3, 2014) - South Carolina Legislature Online</vt:lpstr>
    </vt:vector>
  </TitlesOfParts>
  <Company> </Company>
  <LinksUpToDate>false</LinksUpToDate>
  <CharactersWithSpaces>6270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Text of Previous Version (Feb. 5, 2015) - South Carolina Legislature Online</dc:title>
  <dc:subject/>
  <dc:creator>%USERNAME%</dc:creator>
  <cp:keywords/>
  <dc:description/>
  <cp:lastModifiedBy>Angela Hill</cp:lastModifiedBy>
  <cp:revision>2</cp:revision>
  <cp:lastPrinted>2015-02-05T18:18:00Z</cp:lastPrinted>
  <dcterms:created xsi:type="dcterms:W3CDTF">2015-02-05T18:18:00Z</dcterms:created>
  <dcterms:modified xsi:type="dcterms:W3CDTF">2015-02-05T18:18:00Z</dcterms:modified>
</cp:coreProperties>
</file>