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right" w:pos="5933"/>
        </w:tabs>
        <w:suppressAutoHyphens/>
        <w:jc w:val="both"/>
        <w:rPr>
          <w:rFonts w:eastAsia="Times New Roman"/>
        </w:rPr>
      </w:pPr>
      <w:r>
        <w:rPr>
          <w:rFonts w:eastAsia="Times New Roman"/>
        </w:rPr>
        <w:tab/>
      </w:r>
      <w:r>
        <w:rPr>
          <w:rFonts w:eastAsia="Times New Roman"/>
          <w:b/>
          <w:sz w:val="36"/>
        </w:rPr>
        <w:t>S. 1176</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Johnson</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4/20/16--S.</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2016.</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1176) to amend the Code of Laws of South Carolina, 1976, by adding Section 27</w:t>
      </w:r>
      <w:r>
        <w:rPr>
          <w:rFonts w:eastAsia="Times New Roman"/>
        </w:rPr>
        <w:noBreakHyphen/>
        <w:t>1</w:t>
      </w:r>
      <w:r>
        <w:rPr>
          <w:rFonts w:eastAsia="Times New Roman"/>
        </w:rPr>
        <w:noBreakHyphen/>
        <w:t>80, so as to require the developer of a common interest community to, etc., respectfully</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Amend the bill, as and if amended, page 3, by striking lines 24 and 25, in Section 27</w:t>
      </w:r>
      <w:r w:rsidRPr="00543E40">
        <w:rPr>
          <w:rFonts w:eastAsia="Times New Roman"/>
          <w:snapToGrid w:val="0"/>
          <w:szCs w:val="20"/>
        </w:rPr>
        <w:noBreakHyphen/>
        <w:t>1</w:t>
      </w:r>
      <w:r w:rsidRPr="00543E40">
        <w:rPr>
          <w:rFonts w:eastAsia="Times New Roman"/>
          <w:snapToGrid w:val="0"/>
          <w:szCs w:val="20"/>
        </w:rPr>
        <w:noBreakHyphen/>
        <w:t>80(C), as contained in SECTION 1, by inserting therein the following:</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Times New Roman"/>
          <w:snapToGrid w:val="0"/>
          <w:szCs w:val="20"/>
        </w:rPr>
        <w:tab/>
        <w:t>/</w:t>
      </w:r>
      <w:r w:rsidRPr="00543E40">
        <w:rPr>
          <w:rFonts w:eastAsia="Times New Roman"/>
          <w:snapToGrid w:val="0"/>
          <w:szCs w:val="20"/>
        </w:rPr>
        <w:tab/>
      </w:r>
      <w:r w:rsidRPr="00543E40">
        <w:rPr>
          <w:rFonts w:eastAsia="Calibri"/>
        </w:rPr>
        <w:tab/>
        <w:t>(C)(1)</w:t>
      </w:r>
      <w:r w:rsidRPr="00543E40">
        <w:rPr>
          <w:rFonts w:eastAsia="Calibri"/>
        </w:rPr>
        <w:tab/>
        <w:t>The provisions of this section apply to all common interest communities created within this State after December 31, 2016.</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t>(2)</w:t>
      </w:r>
      <w:r w:rsidRPr="00543E40">
        <w:rPr>
          <w:rFonts w:eastAsia="Calibri"/>
        </w:rPr>
        <w:tab/>
        <w:t>The provisions of this section do not apply to:</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t>(a)</w:t>
      </w:r>
      <w:r w:rsidRPr="00543E40">
        <w:rPr>
          <w:rFonts w:eastAsia="Calibri"/>
        </w:rPr>
        <w:tab/>
        <w:t>any condominium that: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w:t>
      </w:r>
      <w:r w:rsidR="00DA0349">
        <w:rPr>
          <w:rFonts w:eastAsia="Calibri"/>
        </w:rPr>
        <w:tab/>
      </w:r>
      <w:r w:rsidRPr="00543E40">
        <w:rPr>
          <w:rFonts w:eastAsia="Calibri"/>
        </w:rPr>
        <w:tab/>
        <w:t>is a horizontal property regime;</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(ii)</w:t>
      </w:r>
      <w:r w:rsidRPr="00543E40">
        <w:rPr>
          <w:rFonts w:eastAsia="Calibri"/>
        </w:rPr>
        <w:tab/>
        <w:t>has one hundred or more units as residences or for transient occupancy; and</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(iii)</w:t>
      </w:r>
      <w:r w:rsidRPr="00543E40">
        <w:rPr>
          <w:rFonts w:eastAsia="Calibri"/>
        </w:rPr>
        <w:tab/>
        <w:t>operates as a lodging establishment as defined in Section 45-2-20(2) with a registration desk; or</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t>(b)</w:t>
      </w:r>
      <w:r w:rsidRPr="00543E40">
        <w:rPr>
          <w:rFonts w:eastAsia="Calibri"/>
        </w:rPr>
        <w:tab/>
        <w:t>a vacation time sharing plan organized and subject only to the provisions of Chapter 32 of Title 27.</w:t>
      </w:r>
      <w:r w:rsidRPr="00543E40">
        <w:rPr>
          <w:rFonts w:eastAsia="Calibri"/>
        </w:rPr>
        <w:tab/>
      </w:r>
      <w:r w:rsidRPr="00543E40">
        <w:rPr>
          <w:rFonts w:eastAsia="Calibri"/>
        </w:rPr>
        <w:tab/>
        <w: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Renumber sections to conform.</w:t>
      </w:r>
    </w:p>
    <w:p w:rsidR="00543E40" w:rsidRPr="00F27F44" w:rsidRDefault="00543E40" w:rsidP="00F2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Amend title to conform.</w:t>
      </w:r>
    </w:p>
    <w:p w:rsidR="00DA0349" w:rsidRDefault="00DA0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43E4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43E40" w:rsidRDefault="00543E40" w:rsidP="00543E40">
      <w:pPr>
        <w:tabs>
          <w:tab w:val="left" w:pos="3024"/>
        </w:tabs>
        <w:suppressAutoHyphens/>
        <w:jc w:val="both"/>
        <w:rPr>
          <w:rFonts w:eastAsia="Times New Roman"/>
        </w:rPr>
      </w:pPr>
      <w:r>
        <w:rPr>
          <w:rFonts w:eastAsia="Times New Roman"/>
        </w:rPr>
        <w:t>LUKE A. RANKIN</w:t>
      </w:r>
      <w:r>
        <w:rPr>
          <w:rFonts w:eastAsia="Times New Roman"/>
        </w:rPr>
        <w:tab/>
        <w:t>LEE BRIGHT</w:t>
      </w:r>
    </w:p>
    <w:p w:rsidR="00543E40" w:rsidRDefault="00543E40" w:rsidP="00543E40">
      <w:pPr>
        <w:tabs>
          <w:tab w:val="left" w:pos="3024"/>
        </w:tabs>
        <w:suppressAutoHyphens/>
        <w:jc w:val="both"/>
        <w:rPr>
          <w:rFonts w:eastAsia="Times New Roman"/>
        </w:rPr>
      </w:pPr>
      <w:r>
        <w:rPr>
          <w:rFonts w:eastAsia="Times New Roman"/>
        </w:rPr>
        <w:t>For Majority.</w:t>
      </w:r>
      <w:r>
        <w:rPr>
          <w:rFonts w:eastAsia="Times New Roman"/>
        </w:rPr>
        <w:tab/>
        <w:t>For Minority.</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43E40">
        <w:rPr>
          <w:rFonts w:eastAsia="Times New Roman"/>
          <w:b/>
          <w:szCs w:val="20"/>
        </w:rPr>
        <w:t>Fiscal Impact Summary</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3E40">
        <w:rPr>
          <w:rFonts w:cstheme="minorBidi"/>
        </w:rPr>
        <w:tab/>
        <w:t>This bill would have no expenditure or revenue impact on the general fund, federal funds, or other funds.</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43E40">
        <w:rPr>
          <w:rFonts w:eastAsia="Times New Roman"/>
          <w:b/>
          <w:szCs w:val="20"/>
        </w:rPr>
        <w:t>Explanation of Fiscal Impact</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3E40">
        <w:rPr>
          <w:rFonts w:eastAsia="Times New Roman"/>
          <w:b/>
          <w:szCs w:val="20"/>
        </w:rPr>
        <w:t>State Expenditure</w:t>
      </w:r>
    </w:p>
    <w:p w:rsidR="00543E40" w:rsidRPr="00543E40" w:rsidRDefault="00543E4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3E40">
        <w:rPr>
          <w:rFonts w:cstheme="minorBidi"/>
        </w:rPr>
        <w:tab/>
        <w:t>This bill requires common interest community developers to transfer control of the executive board to unit owners.  The prescribed schedule requires at least twenty-five percent of the executive board be elected by the unit owners no later than sixty days after thirty-three percent of the units are conveyed.  The percentage of unit owner’s voting interest increases to at least fifty-one percent when ninety percent of the units that may be created are conveyed.  This bill would have no expenditure or revenue impact on the general fund, federal funds, or other funds.  However, if any additional hearings or trials would be held as a result of this legislation, we anticipate that the Judicial Department could absorb these expenditures within current appropriations.</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43E40" w:rsidRP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E40" w:rsidRDefault="00543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3E40" w:rsidSect="00543E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15E" w:rsidRDefault="00E81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D4D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C15B3">
        <w:rPr>
          <w:rFonts w:eastAsia="Times New Roman"/>
        </w:rPr>
        <w:t>TO AMEND THE CODE OF LAWS OF SOUTH CAROLINA, 1976, BY ADDING SECTION 27</w:t>
      </w:r>
      <w:r w:rsidRPr="00AC15B3">
        <w:rPr>
          <w:rFonts w:eastAsia="Times New Roman"/>
        </w:rPr>
        <w:noBreakHyphen/>
        <w:t>1</w:t>
      </w:r>
      <w:r w:rsidRPr="00AC15B3">
        <w:rPr>
          <w:rFonts w:eastAsia="Times New Roman"/>
        </w:rPr>
        <w:noBreakHyphen/>
        <w:t>80, SO AS TO REQUIRE THE DEVELOPER OF A COMMON INTEREST COMMUNITY TO TRANSFER CONTROL OF THE HOMEOWNERS’ ASSOCIATION BY PHASING UNIT OWNERS ONTO THE EXECUTIVE BOARD OF THE ASSOCIATION AFTER A CERTAIN PERCENTAGE OF THE UNITS ARE CONVEYED.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4D4DA5"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15B3" w:rsidRPr="00AC15B3">
        <w:rPr>
          <w:rFonts w:eastAsia="Times New Roman"/>
        </w:rPr>
        <w:t>Chapter 1, Title 27 of the 1976 Code is amended by adding:</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“Section 27</w:t>
      </w:r>
      <w:r w:rsidRPr="00AC15B3">
        <w:rPr>
          <w:rFonts w:eastAsia="Times New Roman"/>
        </w:rPr>
        <w:noBreakHyphen/>
        <w:t>1</w:t>
      </w:r>
      <w:r w:rsidRPr="00AC15B3">
        <w:rPr>
          <w:rFonts w:eastAsia="Times New Roman"/>
        </w:rPr>
        <w:noBreakHyphen/>
        <w:t>80.</w:t>
      </w:r>
      <w:r w:rsidRPr="00AC15B3">
        <w:rPr>
          <w:rFonts w:eastAsia="Times New Roman"/>
        </w:rPr>
        <w:tab/>
        <w:t>(A)</w:t>
      </w:r>
      <w:r w:rsidRPr="00AC15B3">
        <w:rPr>
          <w:rFonts w:eastAsia="Times New Roman"/>
        </w:rPr>
        <w:tab/>
        <w:t>As used in this section: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‘Association’ means the unit owners’ association organized no later than the date the first unit in the common interest community is conveyed and is organized as a business or nonstock corporation, trust, partnership, or unincorporated association.  The term also includes a homeowners’ association.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‘Common elements’ means: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in the case of:</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w:t>
      </w:r>
      <w:r w:rsidRPr="00AC15B3">
        <w:rPr>
          <w:rFonts w:eastAsia="Times New Roman"/>
        </w:rPr>
        <w:tab/>
        <w:t>a condominium or cooperative, all portions of the common interest community other than the units;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(ii)</w:t>
      </w:r>
      <w:r w:rsidRPr="00AC15B3">
        <w:rPr>
          <w:rFonts w:eastAsia="Times New Roman"/>
        </w:rPr>
        <w:tab/>
        <w:t>a planned community, any real property within a planned community owned or leased by the association, other than a unit;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 all common interest communities, any other interests in real property for the benefit of unit owners which are subject to the declaration.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‘Common interest community’ means real property described in a declaration with respect to which a person, by virtue of his ownership of a unit, is obligated to pay for a share of services and other expenses related to common elements, other units, or any other real property other than that unit described in the declaration.  Such expenses include, but are not limited to:</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real property taxes;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insurance premiums;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(c)</w:t>
      </w:r>
      <w:r w:rsidRPr="00AC15B3">
        <w:rPr>
          <w:rFonts w:eastAsia="Times New Roman"/>
        </w:rPr>
        <w:tab/>
        <w:t>maintenance;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(d)</w:t>
      </w:r>
      <w:r w:rsidRPr="00AC15B3">
        <w:rPr>
          <w:rFonts w:eastAsia="Times New Roman"/>
        </w:rPr>
        <w:tab/>
        <w:t>improvements.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(5)</w:t>
      </w:r>
      <w:r w:rsidRPr="00AC15B3">
        <w:rPr>
          <w:rFonts w:eastAsia="Times New Roman"/>
        </w:rPr>
        <w:tab/>
        <w:t>‘Cooperative’ means a common interest community in which the real property is owned by an association, each of whose members is entitled by virtue of his ownership interest in the association to exclusive possession of a unit.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(6)</w:t>
      </w:r>
      <w:r w:rsidRPr="00AC15B3">
        <w:rPr>
          <w:rFonts w:eastAsia="Times New Roman"/>
        </w:rPr>
        <w:tab/>
        <w:t>‘Declarant’ means any person or group of persons acting in concert who:</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as part of a common promotional plan, offers to dispose of his interest in a unit not previously disposed of; or</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reserves or succeeds to any special declarant right.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(7)</w:t>
      </w:r>
      <w:r w:rsidRPr="00AC15B3">
        <w:rPr>
          <w:rFonts w:eastAsia="Times New Roman"/>
        </w:rPr>
        <w:tab/>
        <w:t>‘Declaration’ means any instruments, however denominated, that create a common interest community, including any amendments to those instruments.</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(8)</w:t>
      </w:r>
      <w:r w:rsidRPr="00AC15B3">
        <w:rPr>
          <w:rFonts w:eastAsia="Times New Roman"/>
        </w:rPr>
        <w:tab/>
        <w:t>‘Executive board’ means the body, regardless of name, designated in the declaration to act on behalf of the association.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(9)</w:t>
      </w:r>
      <w:r w:rsidRPr="00AC15B3">
        <w:rPr>
          <w:rFonts w:eastAsia="Times New Roman"/>
        </w:rPr>
        <w:tab/>
        <w:t>‘Planned community’ means a common interest community that is not a condominium or a cooperative.  A condominium or cooperative may be part of a planned community.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(10)</w:t>
      </w:r>
      <w:r w:rsidRPr="00AC15B3">
        <w:rPr>
          <w:rFonts w:eastAsia="Times New Roman"/>
        </w:rPr>
        <w:tab/>
        <w:t>‘Unit’ means a physical portion of the common interest community designated for separate ownership or occupancy.</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(11)</w:t>
      </w:r>
      <w:r w:rsidRPr="00AC15B3">
        <w:rPr>
          <w:rFonts w:eastAsia="Times New Roman"/>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(B)</w:t>
      </w:r>
      <w:r w:rsidRPr="00AC15B3">
        <w:rPr>
          <w:rFonts w:eastAsia="Times New Roman"/>
        </w:rPr>
        <w:tab/>
        <w:t>The declarant of a common interest community must transfer control of the executive board to unit owners by phasing unit owners, elected by the unit owners, onto the executive board so that no later than sixty days after conveyance of:</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thirty-three percent of the units that may be created, at least twenty</w:t>
      </w:r>
      <w:r w:rsidRPr="00AC15B3">
        <w:rPr>
          <w:rFonts w:eastAsia="Times New Roman"/>
        </w:rPr>
        <w:noBreakHyphen/>
        <w:t>five percent of the voting interest of the executive board is elected by unit owners other than the declarant;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fifty percent of the units that may be created, at least thirty</w:t>
      </w:r>
      <w:r w:rsidRPr="00AC15B3">
        <w:rPr>
          <w:rFonts w:eastAsia="Times New Roman"/>
        </w:rPr>
        <w:noBreakHyphen/>
        <w:t>three and one</w:t>
      </w:r>
      <w:r w:rsidRPr="00AC15B3">
        <w:rPr>
          <w:rFonts w:eastAsia="Times New Roman"/>
        </w:rPr>
        <w:noBreakHyphen/>
        <w:t>third percent of the voting interest of the executive board is elected by unit owners other than the declarant;</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sixty</w:t>
      </w:r>
      <w:r w:rsidRPr="00AC15B3">
        <w:rPr>
          <w:rFonts w:eastAsia="Times New Roman"/>
        </w:rPr>
        <w:noBreakHyphen/>
        <w:t>six and two</w:t>
      </w:r>
      <w:r w:rsidRPr="00AC15B3">
        <w:rPr>
          <w:rFonts w:eastAsia="Times New Roman"/>
        </w:rPr>
        <w:noBreakHyphen/>
        <w:t xml:space="preserve">thirds percent of the units that may be created, </w:t>
      </w:r>
      <w:r>
        <w:rPr>
          <w:rFonts w:eastAsia="Times New Roman"/>
        </w:rPr>
        <w:t>at least</w:t>
      </w:r>
      <w:r w:rsidRPr="00AC15B3">
        <w:rPr>
          <w:rFonts w:eastAsia="Times New Roman"/>
        </w:rPr>
        <w:t xml:space="preserve"> forty-five percent of the voting interest of the executive board is elected by unit owners other than the declarant; and</w:t>
      </w:r>
    </w:p>
    <w:p w:rsidR="00AC15B3" w:rsidRPr="00AC15B3"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 xml:space="preserve">ninety percent of the units that may be created, </w:t>
      </w:r>
      <w:r>
        <w:rPr>
          <w:rFonts w:eastAsia="Times New Roman"/>
        </w:rPr>
        <w:t>at least</w:t>
      </w:r>
      <w:r w:rsidRPr="00AC15B3">
        <w:rPr>
          <w:rFonts w:eastAsia="Times New Roman"/>
        </w:rPr>
        <w:t xml:space="preserve"> fifty</w:t>
      </w:r>
      <w:r w:rsidR="00113EE6">
        <w:rPr>
          <w:rFonts w:eastAsia="Times New Roman"/>
        </w:rPr>
        <w:t>-one</w:t>
      </w:r>
      <w:r w:rsidRPr="00AC15B3">
        <w:rPr>
          <w:rFonts w:eastAsia="Times New Roman"/>
        </w:rPr>
        <w:t xml:space="preserve"> percent of the voting interest of the executive board is elected by unit owners other than the declarant.</w:t>
      </w:r>
    </w:p>
    <w:p w:rsidR="004D4DA5" w:rsidRDefault="00AC15B3"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(C)</w:t>
      </w:r>
      <w:r w:rsidRPr="00AC15B3">
        <w:rPr>
          <w:rFonts w:eastAsia="Times New Roman"/>
        </w:rPr>
        <w:tab/>
        <w:t>The provisions of this section apply to all common interest communities created within this State after December 31, 2016.”</w:t>
      </w:r>
    </w:p>
    <w:p w:rsidR="004D4DA5"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DA5" w:rsidRPr="00522CE0" w:rsidRDefault="004D4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15B3">
        <w:rPr>
          <w:rFonts w:eastAsia="Times New Roman"/>
        </w:rPr>
        <w:t>2</w:t>
      </w:r>
      <w:r>
        <w:rPr>
          <w:rFonts w:eastAsia="Times New Roman"/>
        </w:rPr>
        <w:t>.</w:t>
      </w:r>
      <w:r>
        <w:rPr>
          <w:rFonts w:eastAsia="Times New Roman"/>
        </w:rPr>
        <w:tab/>
        <w:t>This act takes effect upon approval by the Governor.</w:t>
      </w:r>
    </w:p>
    <w:p w:rsidR="005D70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3CD0" w:rsidRDefault="00F93CD0" w:rsidP="00F93CD0">
      <w:pPr>
        <w:suppressAutoHyphens/>
        <w:jc w:val="both"/>
        <w:rPr>
          <w:rFonts w:eastAsia="Times New Roman"/>
        </w:rPr>
      </w:pPr>
    </w:p>
    <w:sectPr w:rsidR="00F93CD0" w:rsidSect="00543E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A5" w:rsidRDefault="004D4DA5" w:rsidP="00522CE0">
      <w:r>
        <w:separator/>
      </w:r>
    </w:p>
  </w:endnote>
  <w:endnote w:type="continuationSeparator" w:id="0">
    <w:p w:rsidR="004D4DA5" w:rsidRDefault="004D4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281CFD-9718-40EC-B573-5638111108DE}"/>
    <w:embedBold r:id="rId2" w:fontKey="{1AAB3070-D1DF-4217-BF08-C6EF8EF33EB1}"/>
  </w:font>
  <w:font w:name="Calibri">
    <w:panose1 w:val="020F0502020204030204"/>
    <w:charset w:val="00"/>
    <w:family w:val="swiss"/>
    <w:pitch w:val="variable"/>
    <w:sig w:usb0="E00002FF" w:usb1="4000ACFF" w:usb2="00000001" w:usb3="00000000" w:csb0="0000019F" w:csb1="00000000"/>
    <w:embedRegular r:id="rId3" w:fontKey="{FBBFC6FE-ADC5-41C9-94C1-81C6474970FE}"/>
  </w:font>
  <w:font w:name="Segoe UI">
    <w:panose1 w:val="020B0502040204020203"/>
    <w:charset w:val="00"/>
    <w:family w:val="swiss"/>
    <w:pitch w:val="variable"/>
    <w:sig w:usb0="E10022FF" w:usb1="C000E47F" w:usb2="00000029" w:usb3="00000000" w:csb0="000001DF" w:csb1="00000000"/>
    <w:embedRegular r:id="rId4" w:fontKey="{73819522-4582-40E6-B54F-DBF117111DD2}"/>
  </w:font>
  <w:font w:name="Cambria">
    <w:panose1 w:val="02040503050406030204"/>
    <w:charset w:val="00"/>
    <w:family w:val="roman"/>
    <w:pitch w:val="variable"/>
    <w:sig w:usb0="E00002FF" w:usb1="400004FF" w:usb2="00000000" w:usb3="00000000" w:csb0="0000019F" w:csb1="00000000"/>
    <w:embedRegular r:id="rId5" w:fontKey="{ECD294C9-533C-48FF-B1D8-77FABA121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95" w:rsidRPr="00E8115E" w:rsidRDefault="00E8115E" w:rsidP="00E8115E">
    <w:pPr>
      <w:pStyle w:val="Footer"/>
      <w:tabs>
        <w:tab w:val="clear" w:pos="4680"/>
        <w:tab w:val="clear" w:pos="9360"/>
        <w:tab w:val="center" w:pos="2995"/>
      </w:tabs>
      <w:spacing w:before="120"/>
    </w:pPr>
    <w:r>
      <w:t>[1176</w:t>
    </w:r>
    <w:r w:rsidR="00543E40">
      <w:t>-</w:t>
    </w:r>
    <w:r w:rsidR="00543E40">
      <w:fldChar w:fldCharType="begin"/>
    </w:r>
    <w:r w:rsidR="00543E40">
      <w:instrText xml:space="preserve"> PAGE  \* MERGEFORMAT </w:instrText>
    </w:r>
    <w:r w:rsidR="00543E40">
      <w:fldChar w:fldCharType="separate"/>
    </w:r>
    <w:r w:rsidR="00F93CD0">
      <w:rPr>
        <w:noProof/>
      </w:rPr>
      <w:t>2</w:t>
    </w:r>
    <w:r w:rsidR="00543E40">
      <w:fldChar w:fldCharType="end"/>
    </w:r>
    <w:r w:rsidR="00543E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40" w:rsidRPr="00E8115E" w:rsidRDefault="00543E40" w:rsidP="00E8115E">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sidR="00F93C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A5" w:rsidRDefault="004D4DA5" w:rsidP="00522CE0">
      <w:r>
        <w:separator/>
      </w:r>
    </w:p>
  </w:footnote>
  <w:footnote w:type="continuationSeparator" w:id="0">
    <w:p w:rsidR="004D4DA5" w:rsidRDefault="004D4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1.PB"/>
    <w:docVar w:name="CoverAttorneyInitials" w:val="PB"/>
    <w:docVar w:name="CoverAttorneyLastName" w:val="Benson"/>
    <w:docVar w:name="CoverBillType" w:val="b"/>
    <w:docVar w:name="DraftFileName" w:val="JUD0101.PB.DOCX"/>
    <w:docVar w:name="DraftStenoName" w:val="Knipp"/>
    <w:docVar w:name="dvBillNumber" w:val="1176"/>
    <w:docVar w:name="dvBillNumberPrefix" w:val="S. "/>
    <w:docVar w:name="dvOriginalBody" w:val="Senate"/>
    <w:docVar w:name="fulldraftpath" w:val="L:\S-JUD\BILLS\Gregory\JUD0101.PB.DOCX"/>
    <w:docVar w:name="NameofBody" w:val="S"/>
    <w:docVar w:name="SenatorFolderName" w:val="Gregory"/>
    <w:docVar w:name="VGROUP2" w:val="S-JUD"/>
  </w:docVars>
  <w:rsids>
    <w:rsidRoot w:val="004D4DA5"/>
    <w:rsid w:val="000141EB"/>
    <w:rsid w:val="00042AC1"/>
    <w:rsid w:val="00046516"/>
    <w:rsid w:val="000A4D08"/>
    <w:rsid w:val="000A6988"/>
    <w:rsid w:val="000B0720"/>
    <w:rsid w:val="000B5EAF"/>
    <w:rsid w:val="000E473B"/>
    <w:rsid w:val="000F002B"/>
    <w:rsid w:val="00107C3D"/>
    <w:rsid w:val="00113EE6"/>
    <w:rsid w:val="00126995"/>
    <w:rsid w:val="00137C02"/>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85484"/>
    <w:rsid w:val="003A5C9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4DA5"/>
    <w:rsid w:val="004D6923"/>
    <w:rsid w:val="004D7F37"/>
    <w:rsid w:val="0051584C"/>
    <w:rsid w:val="00520D79"/>
    <w:rsid w:val="00522CE0"/>
    <w:rsid w:val="00525DCD"/>
    <w:rsid w:val="00541FF6"/>
    <w:rsid w:val="00543E40"/>
    <w:rsid w:val="00565148"/>
    <w:rsid w:val="00581497"/>
    <w:rsid w:val="00586B30"/>
    <w:rsid w:val="0058748C"/>
    <w:rsid w:val="00593361"/>
    <w:rsid w:val="005A5017"/>
    <w:rsid w:val="005A648C"/>
    <w:rsid w:val="005D709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4095"/>
    <w:rsid w:val="00995C37"/>
    <w:rsid w:val="009A7B72"/>
    <w:rsid w:val="009C118A"/>
    <w:rsid w:val="009C6FD3"/>
    <w:rsid w:val="00A02011"/>
    <w:rsid w:val="00A35165"/>
    <w:rsid w:val="00A4011E"/>
    <w:rsid w:val="00A41565"/>
    <w:rsid w:val="00A86015"/>
    <w:rsid w:val="00AC15B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C5B3B"/>
    <w:rsid w:val="00CD1843"/>
    <w:rsid w:val="00CD7C71"/>
    <w:rsid w:val="00D1088B"/>
    <w:rsid w:val="00D156D2"/>
    <w:rsid w:val="00D77EC0"/>
    <w:rsid w:val="00D86943"/>
    <w:rsid w:val="00DA0349"/>
    <w:rsid w:val="00DA47B9"/>
    <w:rsid w:val="00E677A1"/>
    <w:rsid w:val="00E8115E"/>
    <w:rsid w:val="00E91E2F"/>
    <w:rsid w:val="00EA3546"/>
    <w:rsid w:val="00EB1AAC"/>
    <w:rsid w:val="00EB47AE"/>
    <w:rsid w:val="00EC34E1"/>
    <w:rsid w:val="00ED0AE1"/>
    <w:rsid w:val="00F0234A"/>
    <w:rsid w:val="00F27F44"/>
    <w:rsid w:val="00F52959"/>
    <w:rsid w:val="00F532D4"/>
    <w:rsid w:val="00F55884"/>
    <w:rsid w:val="00F93CD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BAD090E-D434-4EAE-AD0D-07D3CD1A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A03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3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C54FB737.dotm</Template>
  <TotalTime>0</TotalTime>
  <Pages>5</Pages>
  <Words>1236</Words>
  <Characters>6334</Characters>
  <Application>Microsoft Office Word</Application>
  <DocSecurity>0</DocSecurity>
  <Lines>178</Lines>
  <Paragraphs>66</Paragraphs>
  <ScaleCrop>false</ScaleCrop>
  <HeadingPairs>
    <vt:vector size="2" baseType="variant">
      <vt:variant>
        <vt:lpstr>Title</vt:lpstr>
      </vt:variant>
      <vt:variant>
        <vt:i4>1</vt:i4>
      </vt:variant>
    </vt:vector>
  </HeadingPairs>
  <TitlesOfParts>
    <vt:vector size="1" baseType="lpstr">
      <vt:lpstr>2015-2016 Bill 1176 Text of Previous Version (Mar. 17, 2016) - South Carolina Legislature Online</vt:lpstr>
    </vt:vector>
  </TitlesOfParts>
  <Company> </Company>
  <LinksUpToDate>false</LinksUpToDate>
  <CharactersWithSpaces>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1176 Text of Previous Version (Apr. 20, 2016) - South Carolina Legislature Online</dc:title>
  <dc:subject/>
  <dc:creator>%USERNAME%</dc:creator>
  <cp:keywords/>
  <dc:description/>
  <cp:lastModifiedBy>Artie Braswell</cp:lastModifiedBy>
  <cp:revision>2</cp:revision>
  <cp:lastPrinted>2016-04-20T18:51:00Z</cp:lastPrinted>
  <dcterms:created xsi:type="dcterms:W3CDTF">2016-04-20T23:32:00Z</dcterms:created>
  <dcterms:modified xsi:type="dcterms:W3CDTF">2016-04-20T23:32:00Z</dcterms:modified>
</cp:coreProperties>
</file>