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right" w:pos="5933"/>
        </w:tabs>
      </w:pPr>
      <w:r>
        <w:tab/>
      </w:r>
      <w:r>
        <w:rPr>
          <w:b/>
          <w:sz w:val="36"/>
        </w:rPr>
        <w:t>S. 277</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EB0E63">
      <w:pPr>
        <w:tabs>
          <w:tab w:val="right" w:pos="5933"/>
        </w:tabs>
      </w:pPr>
      <w:r>
        <w:t>S. Printed 2/25/15--S.</w:t>
      </w:r>
      <w:r w:rsidR="00EB0E63">
        <w:tab/>
        <w:t>[SEC 2/26/15 2:07 PM]</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277) to amend the Code of Laws of South Carolina, 1976, so as to enact the “State Telecom Equity in Funding Act” by adding Section 58</w:t>
      </w:r>
      <w:r>
        <w:noBreakHyphen/>
        <w:t>9</w:t>
      </w:r>
      <w:r>
        <w:noBreakHyphen/>
        <w:t>2515, etc., respectfully</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t>Amend the bill, as and if amended, by striking item (10) on page 6, lines 19-29 and inserting:</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76A9">
        <w:t>/</w:t>
      </w:r>
      <w:r w:rsidRPr="002076A9">
        <w:tab/>
      </w:r>
      <w:r w:rsidRPr="002076A9">
        <w:tab/>
        <w:t>(10)</w:t>
      </w:r>
      <w:r w:rsidRPr="002076A9">
        <w:tab/>
        <w:t>The term ‘carrier of last resort’ means a facilities</w:t>
      </w:r>
      <w:r w:rsidRPr="002076A9">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sidRPr="002076A9">
        <w:noBreakHyphen/>
        <w:t xml:space="preserve">line business customers within a defined service </w:t>
      </w:r>
      <w:r w:rsidRPr="002076A9">
        <w:rPr>
          <w:u w:val="single"/>
        </w:rPr>
        <w:t>or geographic</w:t>
      </w:r>
      <w:r w:rsidRPr="002076A9">
        <w:t xml:space="preserve"> area.  </w:t>
      </w:r>
      <w:r w:rsidRPr="002076A9">
        <w:rPr>
          <w:u w:val="single"/>
        </w:rPr>
        <w:t>A carrier of last resort may meet its obligation by using any available technology of equal or greater service quality than is required by applicable commission regulations as of the effective date of this act, including, but not limited to, the provision of a broadband connection that allows the customer to access the voice provider of the customer’s choice.</w:t>
      </w:r>
      <w:r w:rsidRPr="002076A9">
        <w:t xml:space="preserve">  Initially, the incumbent LEC must be a carrier of last resort within its existing service area.”</w:t>
      </w:r>
      <w:r w:rsidRPr="002076A9">
        <w:tab/>
      </w:r>
      <w:r w:rsidRPr="002076A9">
        <w:tab/>
        <w:t>/</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76A9">
        <w:rPr>
          <w:snapToGrid w:val="0"/>
        </w:rPr>
        <w:t>To further amend the bill, as and if amended, by adding appropriately numbered items after item (7) in SECTION 5 on page 10 to read:</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76A9">
        <w:rPr>
          <w:snapToGrid w:val="0"/>
        </w:rPr>
        <w:t>/</w:t>
      </w:r>
      <w:r w:rsidRPr="002076A9">
        <w:rPr>
          <w:snapToGrid w:val="0"/>
        </w:rPr>
        <w:tab/>
      </w:r>
      <w:r w:rsidRPr="002076A9">
        <w:rPr>
          <w:snapToGrid w:val="0"/>
        </w:rPr>
        <w:tab/>
        <w:t>(</w:t>
      </w:r>
      <w:r>
        <w:rPr>
          <w:snapToGrid w:val="0"/>
        </w:rPr>
        <w:t xml:space="preserve"> </w:t>
      </w:r>
      <w:r w:rsidRPr="002076A9">
        <w:rPr>
          <w:snapToGrid w:val="0"/>
        </w:rPr>
        <w:t>)</w:t>
      </w:r>
      <w:r w:rsidRPr="002076A9">
        <w:rPr>
          <w:snapToGrid w:val="0"/>
        </w:rPr>
        <w:tab/>
      </w:r>
      <w:r>
        <w:rPr>
          <w:snapToGrid w:val="0"/>
        </w:rPr>
        <w:tab/>
      </w:r>
      <w:r w:rsidRPr="002076A9">
        <w:rPr>
          <w:snapToGrid w:val="0"/>
        </w:rPr>
        <w:t xml:space="preserve">A carrier of last resort authorized to receive funds from the USF is subject to random compliance audits and other </w:t>
      </w:r>
      <w:r w:rsidRPr="002076A9">
        <w:rPr>
          <w:snapToGrid w:val="0"/>
        </w:rPr>
        <w:lastRenderedPageBreak/>
        <w:t>investigations by the Office of Regulatory Staff, in accordance with Section 58-4-55.</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r>
      <w:r w:rsidRPr="002076A9">
        <w:rPr>
          <w:snapToGrid w:val="0"/>
        </w:rPr>
        <w:tab/>
        <w:t>(</w:t>
      </w:r>
      <w:r>
        <w:rPr>
          <w:snapToGrid w:val="0"/>
        </w:rPr>
        <w:t xml:space="preserve"> </w:t>
      </w:r>
      <w:r w:rsidRPr="002076A9">
        <w:rPr>
          <w:snapToGrid w:val="0"/>
        </w:rPr>
        <w:t>)</w:t>
      </w:r>
      <w:r w:rsidRPr="002076A9">
        <w:rPr>
          <w:snapToGrid w:val="0"/>
        </w:rPr>
        <w:tab/>
      </w:r>
      <w:r>
        <w:rPr>
          <w:snapToGrid w:val="0"/>
        </w:rPr>
        <w:tab/>
      </w:r>
      <w:r w:rsidRPr="002076A9">
        <w:rPr>
          <w:snapToGrid w:val="0"/>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r w:rsidRPr="002076A9">
        <w:rPr>
          <w:snapToGrid w:val="0"/>
        </w:rPr>
        <w:tab/>
      </w:r>
      <w:r w:rsidRPr="002076A9">
        <w:rPr>
          <w:snapToGrid w:val="0"/>
        </w:rPr>
        <w:tab/>
      </w:r>
      <w:r w:rsidRPr="002076A9">
        <w:rPr>
          <w:snapToGrid w:val="0"/>
        </w:rPr>
        <w:tab/>
        <w:t>/</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t>Renumber sections to conform.</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t>Amend title to conform.</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82B38" w:rsidRDefault="00582B38" w:rsidP="00582B38">
      <w:pPr>
        <w:tabs>
          <w:tab w:val="left" w:pos="3024"/>
        </w:tabs>
      </w:pPr>
      <w:r>
        <w:t>Majority favorable.</w:t>
      </w:r>
      <w:r>
        <w:tab/>
        <w:t>Minority unfavorable.</w:t>
      </w:r>
    </w:p>
    <w:p w:rsidR="00582B38" w:rsidRDefault="00582B38" w:rsidP="00582B38">
      <w:pPr>
        <w:tabs>
          <w:tab w:val="left" w:pos="3024"/>
        </w:tabs>
      </w:pPr>
      <w:r>
        <w:t>LUKE A. RANKIN</w:t>
      </w:r>
      <w:r>
        <w:tab/>
        <w:t>GERALD MALLOY</w:t>
      </w:r>
    </w:p>
    <w:p w:rsidR="00582B38" w:rsidRDefault="00582B38" w:rsidP="00582B38">
      <w:pPr>
        <w:tabs>
          <w:tab w:val="left" w:pos="3024"/>
        </w:tabs>
      </w:pPr>
      <w:r>
        <w:t>For Majority.</w:t>
      </w:r>
      <w:r>
        <w:tab/>
        <w:t>For Minority.</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Fiscal Impact Summary</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This bill is not expected to have a revenue impact on the </w:t>
      </w:r>
      <w:r>
        <w:rPr>
          <w:sz w:val="22"/>
        </w:rPr>
        <w:t>general fund, federal funds, or other funds</w:t>
      </w:r>
      <w:r w:rsidRPr="001764FC">
        <w:rPr>
          <w:sz w:val="22"/>
        </w:rPr>
        <w:t>.  The Public Service Commission reports a cost savings of $650 to</w:t>
      </w:r>
      <w:r>
        <w:rPr>
          <w:sz w:val="22"/>
        </w:rPr>
        <w:t xml:space="preserve"> federal and other funds</w:t>
      </w:r>
      <w:r w:rsidRPr="001764FC">
        <w:rPr>
          <w:sz w:val="22"/>
        </w:rPr>
        <w:t xml:space="preserve">.  The Department of Revenue indicates a minimal expenditure impact on </w:t>
      </w:r>
      <w:r>
        <w:rPr>
          <w:sz w:val="22"/>
        </w:rPr>
        <w:t>general funds</w:t>
      </w:r>
      <w:r w:rsidRPr="001764FC">
        <w:rPr>
          <w:sz w:val="22"/>
        </w:rPr>
        <w:t>, which can be absorbed by the agency.  The Municipal Association of South Carolina reports this bill will have no expenditure impact on municipal governments.  There were no responses from county governments regarding the expenditure impact of this bill.</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1764FC">
        <w:rPr>
          <w:rFonts w:eastAsiaTheme="majorEastAsia" w:cstheme="majorBidi"/>
          <w:b/>
          <w:bCs/>
          <w:szCs w:val="22"/>
        </w:rPr>
        <w:t>Explanation of Fiscal Impact</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State Expenditure</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This bill enacts the State Telecom Equity in Funding Act. New §58-9-2535 provides for the manner to assess and collect dual party relay charges by local telephone exchanges (LEC), commercial mobile radio services (CMRS), voice over internet protocol (VoIP) service providers, and prepaid wireless telecom providers for use in supporting the Dual Party Relay System (DPR), a means for hearing and speech impaired people to communicate by telephone relay. It amends §58-9-2530(A) so as to cap the monthly relay charge at $0.10 per line, whereas the current cap is $0.25. Further, the actual charge set by the Public Service Commission must be uniform for applicable service providers in relation to DPR system funding needs.  Also, §58-9-280 is amended, which provides for the transition of the Interim Local Exchange Carrier Fund into the </w:t>
      </w:r>
      <w:r w:rsidRPr="001764FC">
        <w:rPr>
          <w:sz w:val="22"/>
        </w:rPr>
        <w:lastRenderedPageBreak/>
        <w:t xml:space="preserve">Universal Service Fund (USF), and otherwise limits the size of the Universal Service Fund.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Judicial Department</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This bill clarifies the jurisdiction of the Public Service Commission over certain providers regarding telephone service for the hearing and speech impaired.  The Judicial Department does not anticipate that this bill will have any impact on the Judicial Department </w:t>
      </w:r>
      <w:r>
        <w:rPr>
          <w:sz w:val="22"/>
        </w:rPr>
        <w:t>general fund, federal funds, or other funds</w:t>
      </w:r>
      <w:r w:rsidRPr="001764FC">
        <w:rPr>
          <w:sz w:val="22"/>
        </w:rPr>
        <w:t xml:space="preserve">.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Office of Regulatory Staff</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The Office of Regulatory Staff reports this bill will create a $650 cost savings to</w:t>
      </w:r>
      <w:r>
        <w:rPr>
          <w:sz w:val="22"/>
        </w:rPr>
        <w:t xml:space="preserve"> federal and other funds</w:t>
      </w:r>
      <w:r w:rsidRPr="001764FC">
        <w:rPr>
          <w:sz w:val="22"/>
        </w:rPr>
        <w:t xml:space="preserve">.  The cost savings relate to supplies and postage necessary to send requests for information to companies to recalculate the Interim LEC Fund size annually and the cost to send Interim LEC Fund invoices on a monthly basis.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Public Service Commission</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The Public Service Commission reports this bill will have no impact on the </w:t>
      </w:r>
      <w:r>
        <w:rPr>
          <w:sz w:val="22"/>
        </w:rPr>
        <w:t>general fund, federal funds, or other funds</w:t>
      </w:r>
      <w:r w:rsidRPr="001764FC">
        <w:rPr>
          <w:sz w:val="22"/>
        </w:rPr>
        <w:t xml:space="preserve">.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Department of Revenue</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The Department of Revenue reports this bill will have a minimal impact to adjust forms and instructions.  This impact can be absorbed by the agency.  </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State Revenue</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New §58-9-2535 in Section 3 of the bill provides for the manner to assess and collect dual party relay charges to support the DPR as expanded to include LECs, CMRSs, VoIPs and prepaid wireless providers. The bill also amends §58-9-2530(A) in Section 8 so as to cap the monthly relay charge at $0.10 per line across those providers, whereas the current cap is $0.25. The Office of Regulatory Staff (ORS) reported $4.2 million from dual party fees as restricted funds in FY 2013-14. The cost per line varies depending on total lines actually put in use, and a review by ORS estimates funding in FY 2015-16 could possibly be met with a cost of $0.06 to $0.07 per line. Because the fee is set only as high as necessary to generate revenue sufficient to fund ongoing DPR system operations, there would be no change in the total revenue generated from dual party relay fees in FY 2015-16.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Also, §58-9-280 is amended in Section 5A, to merge the Interim Local Exchange Carrier Fund into the Universal Service Fund (USF), to expand the universe of contributing providers, and to change language to limit the size of the USF to include adjustments for those LECs taking the election in §58-9-576(C) regarding certain alternative rates and terms of regulation.  Thus, the number of providers contributing to the USF would increase, yet the </w:t>
      </w:r>
      <w:r w:rsidRPr="001764FC">
        <w:rPr>
          <w:sz w:val="22"/>
        </w:rPr>
        <w:lastRenderedPageBreak/>
        <w:t>contribution per provider would be proportionately less. As the funding level is determined by the commission, these amendments would not change the total revenue generated for agency earmarked funds from provider contributions to the USF in FY 2015-16.  Therefore, the bill is not expected to impact state revenues.</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Local Expenditure</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The Revenue and Fiscal Affairs Office contacted the Municipal Association of South Carolina and thirteen county governments regarding the impact of this bill.  The Municipal Association reports this bill will have no expenditure impact on municipal governments.  There were no responses from county governments regarding the expenditure impact of this bill.</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82B38"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 xml:space="preserve">2510, AS AMENDED, </w:t>
      </w:r>
      <w:r>
        <w:lastRenderedPageBreak/>
        <w:t>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2535.</w:t>
      </w:r>
      <w:r>
        <w:tab/>
        <w:t>(A)</w:t>
      </w:r>
      <w:r>
        <w:tab/>
        <w:t>A local exchange provider must collect the dual party relay charge established in Section 58</w:t>
      </w:r>
      <w:r w:rsidR="00F66000">
        <w:noBreakHyphen/>
      </w:r>
      <w:r>
        <w:t>9</w:t>
      </w:r>
      <w:r w:rsidR="00F66000">
        <w:noBreakHyphen/>
      </w:r>
      <w:r>
        <w:t xml:space="preserve">2530(A) on each local exchange access facility. 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number of outward voice transmission paths activated on such a facility in cases where the number of activated outward voice transmission paths can be modified by the subscriber only with the assistance of the service supplier;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 xml:space="preserve">five, where the number of activated outward voice transmission paths can be modified by the subscriber without the assistance of the service supplier.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5403">
        <w:tab/>
        <w:t>(b)</w:t>
      </w:r>
      <w:r w:rsidRPr="00F45403">
        <w:tab/>
        <w:t>Local exchange providers that collect dual party relay charges are entitled to retain two percent of the gross dual party relay charges remitted to the Office of Regulatory Staff as an administrative fee. Within forty</w:t>
      </w:r>
      <w:r w:rsidR="00F66000">
        <w:noBreakHyphen/>
      </w:r>
      <w:r w:rsidRPr="00F45403">
        <w:t xml:space="preserve">five days </w:t>
      </w:r>
      <w:r w:rsidR="00711C83">
        <w:t>after</w:t>
      </w:r>
      <w:r w:rsidRPr="00F45403">
        <w:t xml:space="preserve"> the end of the month during which </w:t>
      </w:r>
      <w:r w:rsidR="00711C83">
        <w:t>the</w:t>
      </w:r>
      <w:r w:rsidRPr="00F45403">
        <w:t xml:space="preserve"> charges were </w:t>
      </w:r>
      <w:r>
        <w:t xml:space="preserve">collected, </w:t>
      </w:r>
      <w:r w:rsidR="00D1594D">
        <w:t>each</w:t>
      </w:r>
      <w:r>
        <w:t xml:space="preserve">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w:t>
      </w:r>
      <w:r>
        <w:lastRenderedPageBreak/>
        <w:t>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VoIP providers that collect dual party relay charges are entitled to retain two percent of the gross dual party relay charges remitted to the department as an administrative fee. Within forty</w:t>
      </w:r>
      <w:r w:rsidR="00F66000">
        <w:noBreakHyphen/>
      </w:r>
      <w:r>
        <w:t xml:space="preserve">five days </w:t>
      </w:r>
      <w:r w:rsidR="00711C83">
        <w:t xml:space="preserve">after </w:t>
      </w:r>
      <w:r>
        <w:t xml:space="preserve">the end of the month during which </w:t>
      </w:r>
      <w:r w:rsidR="00711C83">
        <w:t>the</w:t>
      </w:r>
      <w:r>
        <w:t xml:space="preserve">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audit and appeal procedures applicable pursuant to Chapter 36, Title 12 shall apply to the dual party relay charge.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entity for a different dual party relay charge than the consumer or subscriber has been billed, and </w:t>
      </w:r>
      <w:r w:rsidR="00D1594D">
        <w:t>no</w:t>
      </w:r>
      <w:r>
        <w:t xml:space="preserve"> local exchange provider, CMRS provider, VoIP provider, prepaid wireless provider, or prepaid </w:t>
      </w:r>
      <w:r>
        <w:lastRenderedPageBreak/>
        <w:t>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48632E">
        <w:t xml:space="preserve">The term </w:t>
      </w:r>
      <w:r w:rsidR="00F66000" w:rsidRPr="00F66000">
        <w:t>‘</w:t>
      </w:r>
      <w:r w:rsidRPr="0048632E">
        <w:t>carrier of last resort</w:t>
      </w:r>
      <w:r w:rsidR="00F66000" w:rsidRPr="00F66000">
        <w:t>’</w:t>
      </w:r>
      <w:r w:rsidRPr="0048632E">
        <w:t xml:space="preserve"> means a facilities</w:t>
      </w:r>
      <w:r w:rsidR="00F66000">
        <w:noBreakHyphen/>
      </w:r>
      <w:r w:rsidRPr="0048632E">
        <w:t xml:space="preserve">based local exchange carrier, as determined by the commission, not inconsistent with the </w:t>
      </w:r>
      <w:r w:rsidR="00EB0E63">
        <w:t>F</w:t>
      </w:r>
      <w:r w:rsidRPr="0048632E">
        <w:t>ederal Telecommunications Act of 1996, which has the obligation to provide basic local exchange telephone service, upon reasonable request, to all residential and single</w:t>
      </w:r>
      <w:r w:rsidR="00F66000">
        <w:noBreakHyphen/>
      </w:r>
      <w:r w:rsidRPr="0048632E">
        <w:t xml:space="preserve">line business customers within a defined service </w:t>
      </w:r>
      <w:r>
        <w:rPr>
          <w:u w:val="single"/>
        </w:rPr>
        <w:t>or geographic</w:t>
      </w:r>
      <w:r>
        <w:t xml:space="preserve"> </w:t>
      </w:r>
      <w:r w:rsidRPr="0048632E">
        <w:t xml:space="preserve">area. </w:t>
      </w:r>
      <w:r>
        <w:t xml:space="preserve"> </w:t>
      </w:r>
      <w:r>
        <w:rPr>
          <w:u w:val="single"/>
        </w:rPr>
        <w:t>A carrier of last resort may meet its obligation by using any available technology, including, but not limited to, the provision of a broadband connection that allows the customer to access the voice provider of the customer</w:t>
      </w:r>
      <w:r w:rsidR="00F66000" w:rsidRPr="00F66000">
        <w:rPr>
          <w:u w:val="single"/>
        </w:rPr>
        <w:t>’</w:t>
      </w:r>
      <w:r>
        <w:rPr>
          <w:u w:val="single"/>
        </w:rPr>
        <w:t>s choice.</w:t>
      </w:r>
      <w:r>
        <w:t xml:space="preserve">  </w:t>
      </w:r>
      <w:r w:rsidRPr="0048632E">
        <w:t>Initially, the incumbent LEC must be a carrier of last resort within its existing service area.</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5.A</w:t>
      </w:r>
      <w:r>
        <w:t>.</w:t>
      </w:r>
      <w:r>
        <w:tab/>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w:t>
      </w:r>
      <w:r w:rsidRPr="0048632E">
        <w:lastRenderedPageBreak/>
        <w:t>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Pr="00F66000">
        <w:tab/>
      </w:r>
      <w:r w:rsidRPr="00F66000">
        <w:tab/>
      </w:r>
      <w:r w:rsidR="00F45403" w:rsidRPr="00F45403">
        <w:rPr>
          <w:u w:val="single"/>
        </w:rPr>
        <w:t>(a)</w:t>
      </w:r>
      <w:r w:rsidRPr="00F66000">
        <w:tab/>
      </w:r>
      <w:r w:rsidR="00F45403" w:rsidRPr="00F45403">
        <w:rPr>
          <w:u w:val="single"/>
        </w:rPr>
        <w:t xml:space="preserve">Telecommunications companies and VoIP providers that provide VoIP service pursuant to a certificate issued by the commission must remit these contributions to the Office of Regulatory Staff </w:t>
      </w:r>
      <w:r w:rsidR="00D1594D">
        <w:rPr>
          <w:u w:val="single"/>
        </w:rPr>
        <w:t>in accordance with</w:t>
      </w:r>
      <w:r w:rsidR="00F45403" w:rsidRPr="00F45403">
        <w:rPr>
          <w:u w:val="single"/>
        </w:rPr>
        <w:t xml:space="preserve"> orders issued by the commission.  All other VoIP providers, all CMRS providers, and all prepaid wireless providers must remit these contributions to the Department of Revenue at the same time and in the same manner as telecommunications companies and VoIP providers that provide VoIP service pursuant to a certificate issued by the commission remit these contributions to the Office of Regulatory Staff.   The Department of Revenue monthly shall assess each CMRS provider, each prepaid wireless provider, and each VoIP provider that does not have a certificate issued by the commission, its contribution to the USF. The Office of Regulatory Staff shall certify to the Department of Revenue the USF factor and the amounts to be assessed. The Department of Revenue shall charge the assessments to the companies and collect the assessments as provided by law, including the enforcement and collection provisions of Article 1, Chapter 54, Title 12.  The USF assessments, less the Department of Revenue actual incremental increase in the cost of administration, must be transferred to the USF fund administered by the Office of </w:t>
      </w:r>
      <w:r w:rsidR="00F45403" w:rsidRPr="00F45403">
        <w:rPr>
          <w:u w:val="single"/>
        </w:rPr>
        <w:lastRenderedPageBreak/>
        <w:t xml:space="preserve">Regulatory Staff or third party administrator designated by the Office of Regulatory Staff.    </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w:t>
      </w:r>
      <w:r w:rsidR="00EB0E63">
        <w:rPr>
          <w:u w:val="single"/>
        </w:rPr>
        <w:t>,</w:t>
      </w:r>
      <w:r w:rsidR="00F45403" w:rsidRPr="00F45403">
        <w:rPr>
          <w:u w:val="single"/>
        </w:rPr>
        <w:t xml:space="preserve">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w:t>
      </w:r>
      <w:r w:rsidR="00EB0E63">
        <w:rPr>
          <w:u w:val="single"/>
        </w:rPr>
        <w:t>,</w:t>
      </w:r>
      <w:r w:rsidR="00F45403" w:rsidRPr="00F45403">
        <w:rPr>
          <w:u w:val="single"/>
        </w:rPr>
        <w:t xml:space="preserve">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 xml:space="preserve">The commission shall require any carrier of last resort seeking reimbursement from the fund to file with the commission </w:t>
      </w:r>
      <w:r w:rsidR="00F45403" w:rsidRPr="00F45403">
        <w:rPr>
          <w:strike/>
        </w:rPr>
        <w:lastRenderedPageBreak/>
        <w:t>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w:t>
      </w:r>
      <w:r>
        <w:rPr>
          <w:u w:val="single"/>
        </w:rPr>
        <w:t>)</w:t>
      </w:r>
      <w:r w:rsidR="00D1594D" w:rsidRPr="00EB0E63">
        <w:tab/>
      </w:r>
      <w:r w:rsidRPr="00EB0E63">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w:t>
      </w:r>
      <w:r>
        <w:rPr>
          <w:u w:val="single"/>
        </w:rPr>
        <w:t>)</w:t>
      </w:r>
      <w:r w:rsidRPr="00EB0E63">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iii</w:t>
      </w:r>
      <w:r>
        <w:rPr>
          <w:u w:val="single"/>
        </w:rPr>
        <w:t>)</w:t>
      </w:r>
      <w:r w:rsidRPr="00EB0E63">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iv</w:t>
      </w:r>
      <w:r>
        <w:rPr>
          <w:u w:val="single"/>
        </w:rPr>
        <w:t>)</w:t>
      </w:r>
      <w:r w:rsidRPr="00EB0E63">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Pr>
          <w:u w:val="single"/>
        </w:rPr>
        <w:t>(b)</w:t>
      </w:r>
      <w:r w:rsidRPr="00EB0E63">
        <w:tab/>
      </w:r>
      <w:r>
        <w:rPr>
          <w:u w:val="single"/>
        </w:rPr>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576(C), money in the USF must be distributed to a local exchange carrier in the same amount distributed to the carrier from the Interim LEC fund in 2014 less any 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CB3639"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lastRenderedPageBreak/>
        <w:tab/>
      </w:r>
      <w:r w:rsidRPr="00F66000">
        <w:tab/>
      </w:r>
      <w:r w:rsidR="00CB3639">
        <w:rPr>
          <w:u w:val="single"/>
        </w:rPr>
        <w:t>(6)</w:t>
      </w:r>
      <w:r w:rsidRPr="00F66000">
        <w:tab/>
      </w:r>
      <w:r w:rsidR="00CB3639">
        <w:rPr>
          <w:u w:val="single"/>
        </w:rPr>
        <w:t>The ORS may take necessary action to implement items (2), (3), and (4) as soon after the effective date of this subsection as administratively feasible.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CB3639">
        <w:rPr>
          <w:u w:val="single"/>
        </w:rPr>
        <w:t>Subject to the provisions of items (2), (3), and (4),</w:t>
      </w:r>
      <w:r w:rsidR="00CB3639">
        <w:t xml:space="preserve"> t</w:t>
      </w:r>
      <w:r w:rsidRPr="0048632E">
        <w:t xml:space="preserve">he commission </w:t>
      </w:r>
      <w:r w:rsidRPr="00CB3639">
        <w:rPr>
          <w:strike/>
        </w:rPr>
        <w:t>shall have the authority to</w:t>
      </w:r>
      <w:r w:rsidRPr="0048632E">
        <w:t xml:space="preserve"> </w:t>
      </w:r>
      <w:r w:rsidR="00CB3639">
        <w:rPr>
          <w:u w:val="single"/>
        </w:rPr>
        <w:t>may</w:t>
      </w:r>
      <w:r w:rsidR="00CB3639">
        <w:t xml:space="preserve"> </w:t>
      </w:r>
      <w:r w:rsidRPr="0048632E">
        <w:t xml:space="preserve">make </w:t>
      </w:r>
      <w:r w:rsidR="004739E1">
        <w:rPr>
          <w:u w:val="single"/>
        </w:rPr>
        <w:t>administrative</w:t>
      </w:r>
      <w:r w:rsidR="004739E1">
        <w:t xml:space="preserve"> </w:t>
      </w:r>
      <w:r w:rsidRPr="0048632E">
        <w:t xml:space="preserve">adjustments to the contribution or distribution levels based on yearly reconciliations </w:t>
      </w:r>
      <w:r w:rsidRPr="00CB3639">
        <w:rPr>
          <w:strike/>
        </w:rPr>
        <w:t>and to order further contributions or distributions as needed</w:t>
      </w:r>
      <w:r w:rsidRPr="0048632E">
        <w:t>.</w:t>
      </w:r>
    </w:p>
    <w:p w:rsidR="00F45403" w:rsidRPr="00CB3639"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CB3639">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Pr="00F66000">
        <w:tab/>
      </w:r>
      <w:r w:rsidR="00F45403" w:rsidRPr="00CB3639">
        <w:rPr>
          <w:strike/>
        </w:rPr>
        <w:t>(9)</w:t>
      </w:r>
      <w:r w:rsidR="00F45403">
        <w:tab/>
      </w:r>
      <w:r w:rsidR="00F45403" w:rsidRPr="0048632E">
        <w:t xml:space="preserve">Nothing in </w:t>
      </w:r>
      <w:r w:rsidR="00F45403" w:rsidRPr="004739E1">
        <w:t>subsection (G) of this section shall preclude</w:t>
      </w:r>
      <w:r w:rsidR="00F45403" w:rsidRPr="0048632E">
        <w:t xml:space="preserve"> the commission from assessing broadband service revenues for purposes of contributions to the USF, pursuant to this subsection.</w:t>
      </w:r>
      <w:r w:rsidR="00F45403">
        <w:t>”</w:t>
      </w:r>
    </w:p>
    <w:p w:rsidR="00CB3639" w:rsidRDefault="00CB3639"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t xml:space="preserve">This entire </w:t>
      </w:r>
      <w:r w:rsidR="00CB3639">
        <w:t xml:space="preserve">section </w:t>
      </w:r>
      <w:r>
        <w:t xml:space="preserve">is void if any portion of this </w:t>
      </w:r>
      <w:r w:rsidR="00CB3639">
        <w:t>section</w:t>
      </w:r>
      <w:r>
        <w:t xml:space="preserve"> is finally adjudicated invalid.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3639">
        <w:tab/>
      </w:r>
      <w:r w:rsidRPr="00F45403">
        <w:t>6.</w:t>
      </w:r>
      <w:r w:rsidR="00CB3639">
        <w:tab/>
      </w:r>
      <w:r>
        <w:t>Section 58</w:t>
      </w:r>
      <w:r w:rsidR="00F66000">
        <w:noBreakHyphen/>
      </w:r>
      <w:r>
        <w:t>9</w:t>
      </w:r>
      <w:r w:rsidR="00F66000">
        <w:noBreakHyphen/>
      </w:r>
      <w:r>
        <w:t>576(C)</w:t>
      </w:r>
      <w:r w:rsidR="00CB3639">
        <w:t>(2)</w:t>
      </w:r>
      <w:r>
        <w:t xml:space="preserve"> of the 1976 Code</w:t>
      </w:r>
      <w:r w:rsidR="00CB3639">
        <w:t>, as added by Act 7 of 2009,</w:t>
      </w:r>
      <w:r>
        <w:t xml:space="preserve"> is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8632E">
        <w:t>Beginning on the date that the LEC</w:t>
      </w:r>
      <w:r w:rsidR="00F66000" w:rsidRPr="00F66000">
        <w:t>’</w:t>
      </w:r>
      <w:r w:rsidRPr="0048632E">
        <w:t xml:space="preserve">s election, pursuant to this subsection, becomes effective, </w:t>
      </w:r>
      <w:r>
        <w:rPr>
          <w:u w:val="single"/>
        </w:rPr>
        <w:t>and ending five years thereafter,</w:t>
      </w:r>
      <w:r>
        <w:t xml:space="preserve"> </w:t>
      </w:r>
      <w:r w:rsidRPr="0048632E">
        <w:t>the LEC may increase its rates for its stand</w:t>
      </w:r>
      <w:r w:rsidR="00F66000">
        <w:noBreakHyphen/>
      </w:r>
      <w:r w:rsidRPr="0048632E">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w:t>
      </w:r>
      <w:r w:rsidR="00F66000">
        <w:noBreakHyphen/>
      </w:r>
      <w:r w:rsidRPr="0048632E">
        <w:t>alone basic residential line that was in service on the preelection date dies or moves from the residence, the provisions of this subitem will continue to apply</w:t>
      </w:r>
      <w:r>
        <w:t xml:space="preserve"> </w:t>
      </w:r>
      <w:r>
        <w:rPr>
          <w:u w:val="single"/>
        </w:rPr>
        <w:t>for five years after the preelection date</w:t>
      </w:r>
      <w:r w:rsidRPr="0048632E">
        <w:t xml:space="preserve"> to the stand</w:t>
      </w:r>
      <w:r w:rsidR="00F66000">
        <w:noBreakHyphen/>
      </w:r>
      <w:r w:rsidRPr="0048632E">
        <w:t xml:space="preserve">alone basic residential line at the residence if a spouse, family member, or </w:t>
      </w:r>
      <w:r w:rsidRPr="005742B3">
        <w:rPr>
          <w:strike/>
        </w:rPr>
        <w:t>co</w:t>
      </w:r>
      <w:r w:rsidR="00F66000" w:rsidRPr="005742B3">
        <w:rPr>
          <w:strike/>
        </w:rPr>
        <w:noBreakHyphen/>
      </w:r>
      <w:r w:rsidRPr="005742B3">
        <w:rPr>
          <w:strike/>
        </w:rPr>
        <w:t>tenant</w:t>
      </w:r>
      <w:r w:rsidRPr="0048632E">
        <w:t xml:space="preserve"> </w:t>
      </w:r>
      <w:r w:rsidR="005742B3">
        <w:rPr>
          <w:u w:val="single"/>
        </w:rPr>
        <w:t>cotenant</w:t>
      </w:r>
      <w:r w:rsidR="005742B3">
        <w:t xml:space="preserve"> </w:t>
      </w:r>
      <w:r w:rsidRPr="0048632E">
        <w:t>of that customer of record provides documentation showing that he resided at the location and requests to have the stand</w:t>
      </w:r>
      <w:r w:rsidR="00F66000">
        <w:noBreakHyphen/>
      </w:r>
      <w:r w:rsidRPr="0048632E">
        <w:t xml:space="preserve">alone basic residential line continued in his name. </w:t>
      </w:r>
      <w:r w:rsidRPr="0048632E">
        <w:lastRenderedPageBreak/>
        <w:t>With the sole exception of ensuring the LEC</w:t>
      </w:r>
      <w:r w:rsidR="00F66000" w:rsidRPr="00F66000">
        <w:t>’</w:t>
      </w:r>
      <w:r w:rsidRPr="0048632E">
        <w:t>s compliance with the preceding sentences, the commission must not:</w:t>
      </w: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8632E">
        <w:t>impose any requirements related to the terms, conditions, rates, or availability of any of the LEC</w:t>
      </w:r>
      <w:r w:rsidR="00F66000" w:rsidRPr="00F66000">
        <w:t>’</w:t>
      </w:r>
      <w:r w:rsidRPr="0048632E">
        <w:t>s stand</w:t>
      </w:r>
      <w:r w:rsidR="00F66000">
        <w:noBreakHyphen/>
      </w:r>
      <w:r w:rsidRPr="0048632E">
        <w:t>alone basic residential lines that were in service on the preelection date; or</w:t>
      </w:r>
    </w:p>
    <w:p w:rsidR="00F45403" w:rsidRPr="00F45403"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r>
      <w:r w:rsidRPr="0048632E">
        <w:tab/>
      </w:r>
      <w:r w:rsidRPr="0048632E">
        <w:tab/>
        <w:t>(b)</w:t>
      </w:r>
      <w:r>
        <w:tab/>
      </w:r>
      <w:r w:rsidRPr="0048632E">
        <w:t>otherwise regulate any of the LEC</w:t>
      </w:r>
      <w:r w:rsidR="00F66000" w:rsidRPr="00F66000">
        <w:t>’</w:t>
      </w:r>
      <w:r w:rsidRPr="0048632E">
        <w:t>s stand</w:t>
      </w:r>
      <w:r w:rsidR="00F66000">
        <w:noBreakHyphen/>
      </w:r>
      <w:r w:rsidRPr="0048632E">
        <w:t>alone basic residential lines that were in service on the preelection date.</w:t>
      </w:r>
      <w: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s message or request to a third party, or a procedure in which a party who is not deaf or hearing or speech impaired can 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 xml:space="preserve">charge must be determined by the commission based upon the amount of funding necessary to accomplish the purposes of this article and provide dual </w:t>
      </w:r>
      <w:r w:rsidR="00CB0189" w:rsidRPr="0048632E">
        <w:lastRenderedPageBreak/>
        <w:t>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Pr="00F45403">
        <w:t>9.</w:t>
      </w:r>
      <w:r w:rsidR="00CB0189">
        <w:tab/>
      </w:r>
      <w:r>
        <w:t>Section 58</w:t>
      </w:r>
      <w:r w:rsidR="00F66000">
        <w:noBreakHyphen/>
      </w:r>
      <w:r>
        <w:t>9</w:t>
      </w:r>
      <w:r w:rsidR="00F66000">
        <w:noBreakHyphen/>
      </w:r>
      <w:r>
        <w:t xml:space="preserve">2540 of the 1976 Code is repealed.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10.</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D2D" w:rsidRDefault="00BA3D2D" w:rsidP="00BA3D2D">
      <w:pPr>
        <w:suppressAutoHyphens/>
      </w:pPr>
    </w:p>
    <w:sectPr w:rsidR="00BA3D2D"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ABD7DB-DB07-4C29-A5EC-59EE6A31B3DF}"/>
    <w:embedBold r:id="rId2" w:fontKey="{CFBFABC9-44BC-46B2-99B1-D892BA37E3F7}"/>
  </w:font>
  <w:font w:name="Calibri">
    <w:panose1 w:val="020F0502020204030204"/>
    <w:charset w:val="00"/>
    <w:family w:val="swiss"/>
    <w:pitch w:val="variable"/>
    <w:sig w:usb0="E10002FF" w:usb1="4000ACFF" w:usb2="00000009" w:usb3="00000000" w:csb0="0000019F" w:csb1="00000000"/>
    <w:embedRegular r:id="rId3" w:fontKey="{F6FE03BB-D65E-4E8A-945A-D4AE4749DBD8}"/>
    <w:embedBold r:id="rId4" w:fontKey="{F7C04B42-9631-4D65-A1C0-A9DC71EDFA32}"/>
  </w:font>
  <w:font w:name="Cambria">
    <w:panose1 w:val="02040503050406030204"/>
    <w:charset w:val="00"/>
    <w:family w:val="roman"/>
    <w:pitch w:val="variable"/>
    <w:sig w:usb0="E00002FF" w:usb1="400004FF" w:usb2="00000000" w:usb3="00000000" w:csb0="0000019F" w:csb1="00000000"/>
    <w:embedRegular r:id="rId5" w:fontKey="{FEF5FAF4-468E-46E9-BA34-BADE6B173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BA3D2D">
      <w:rPr>
        <w:noProof/>
      </w:rPr>
      <w:t>4</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BA3D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11EE9"/>
    <w:rsid w:val="00521E00"/>
    <w:rsid w:val="005742B3"/>
    <w:rsid w:val="00577C6C"/>
    <w:rsid w:val="00582B38"/>
    <w:rsid w:val="0058501B"/>
    <w:rsid w:val="0061228A"/>
    <w:rsid w:val="006215AA"/>
    <w:rsid w:val="006340D9"/>
    <w:rsid w:val="00643B8E"/>
    <w:rsid w:val="00665EBC"/>
    <w:rsid w:val="0069470D"/>
    <w:rsid w:val="006A476C"/>
    <w:rsid w:val="006C6A93"/>
    <w:rsid w:val="006E02F9"/>
    <w:rsid w:val="00711C83"/>
    <w:rsid w:val="00753C04"/>
    <w:rsid w:val="00756946"/>
    <w:rsid w:val="00757F80"/>
    <w:rsid w:val="00771EEC"/>
    <w:rsid w:val="00786819"/>
    <w:rsid w:val="007A325A"/>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26FA6"/>
    <w:rsid w:val="00B741CB"/>
    <w:rsid w:val="00B934F3"/>
    <w:rsid w:val="00B93F35"/>
    <w:rsid w:val="00BA3D2D"/>
    <w:rsid w:val="00BB6347"/>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405E7"/>
    <w:rsid w:val="00D41D56"/>
    <w:rsid w:val="00D6260D"/>
    <w:rsid w:val="00D6662B"/>
    <w:rsid w:val="00D95E2F"/>
    <w:rsid w:val="00D970A9"/>
    <w:rsid w:val="00DB3AC0"/>
    <w:rsid w:val="00DC3DFD"/>
    <w:rsid w:val="00DC6813"/>
    <w:rsid w:val="00DE68F0"/>
    <w:rsid w:val="00DF3845"/>
    <w:rsid w:val="00DF7E17"/>
    <w:rsid w:val="00E038AA"/>
    <w:rsid w:val="00E26CA8"/>
    <w:rsid w:val="00EA7ADB"/>
    <w:rsid w:val="00EB00A2"/>
    <w:rsid w:val="00EB0E63"/>
    <w:rsid w:val="00EB1BF3"/>
    <w:rsid w:val="00EF3EEE"/>
    <w:rsid w:val="00F149A7"/>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ECE8E-195C-4DDC-8F75-DDB9D86D2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79A8A1C.dotm</Template>
  <TotalTime>0</TotalTime>
  <Pages>18</Pages>
  <Words>6159</Words>
  <Characters>32761</Characters>
  <Application>Microsoft Office Word</Application>
  <DocSecurity>0</DocSecurity>
  <Lines>736</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(Feb. 26, 2015) - South Carolina Legislature Online</dc:title>
  <dc:subject/>
  <dc:creator>angiemorgan</dc:creator>
  <cp:keywords/>
  <dc:description/>
  <cp:lastModifiedBy>Angela Hopkins</cp:lastModifiedBy>
  <cp:revision>2</cp:revision>
  <cp:lastPrinted>2015-01-12T20:30:00Z</cp:lastPrinted>
  <dcterms:created xsi:type="dcterms:W3CDTF">2015-02-26T19:08:00Z</dcterms:created>
  <dcterms:modified xsi:type="dcterms:W3CDTF">2015-02-26T19:08:00Z</dcterms:modified>
</cp:coreProperties>
</file>