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521CE" w:rsidRDefault="005469B6" w:rsidP="001D7F4F">
      <w:pPr>
        <w:pStyle w:val="BillDots"/>
      </w:pPr>
      <w:r>
        <w:t>COMMITTEE REPORT</w:t>
      </w:r>
    </w:p>
    <w:p w:rsidR="005469B6" w:rsidRDefault="005469B6" w:rsidP="001D7F4F">
      <w:pPr>
        <w:pStyle w:val="BillDots"/>
      </w:pPr>
      <w:r>
        <w:t>April 1, 2015</w:t>
      </w:r>
    </w:p>
    <w:p w:rsidR="005469B6" w:rsidRDefault="005469B6" w:rsidP="001D7F4F">
      <w:pPr>
        <w:pStyle w:val="BillDots"/>
      </w:pPr>
    </w:p>
    <w:p w:rsidR="005469B6" w:rsidRPr="005469B6" w:rsidRDefault="005469B6" w:rsidP="005469B6">
      <w:pPr>
        <w:pStyle w:val="BillDots"/>
        <w:tabs>
          <w:tab w:val="clear" w:pos="216"/>
          <w:tab w:val="clear" w:pos="432"/>
          <w:tab w:val="clear" w:pos="648"/>
          <w:tab w:val="clear" w:pos="864"/>
          <w:tab w:val="clear" w:pos="1080"/>
          <w:tab w:val="clear" w:pos="1296"/>
          <w:tab w:val="clear" w:pos="5904"/>
          <w:tab w:val="right" w:pos="5933"/>
        </w:tabs>
      </w:pPr>
      <w:r>
        <w:tab/>
      </w:r>
      <w:r>
        <w:rPr>
          <w:b/>
          <w:sz w:val="36"/>
        </w:rPr>
        <w:t>H. 3266</w:t>
      </w:r>
    </w:p>
    <w:p w:rsidR="005469B6" w:rsidRDefault="005469B6" w:rsidP="001D7F4F">
      <w:pPr>
        <w:pStyle w:val="BillDots"/>
      </w:pPr>
    </w:p>
    <w:p w:rsidR="005469B6" w:rsidRDefault="005469B6" w:rsidP="001D7F4F">
      <w:pPr>
        <w:pStyle w:val="BillDots"/>
      </w:pPr>
      <w:r>
        <w:t>Introduced by Reps. Hiott, Bannister, Brannon, Erickson, Henderson, Collins, Sandifer, Corley, Tallon, Taylor, Thayer, Wells, Felder, Kirby, Hixon, Hodges, Riley, Ott, Goldfinch, Hardee, Gagnon, Pitts, Finlay, Southard, D.C. Moss, Chumley, Yow, Huggins, Kennedy, Rivers and White</w:t>
      </w:r>
    </w:p>
    <w:p w:rsidR="005469B6" w:rsidRDefault="005469B6" w:rsidP="001D7F4F">
      <w:pPr>
        <w:pStyle w:val="BillDots"/>
      </w:pPr>
    </w:p>
    <w:p w:rsidR="005469B6" w:rsidRDefault="005469B6" w:rsidP="00E37C4F">
      <w:pPr>
        <w:pStyle w:val="BillDots"/>
        <w:tabs>
          <w:tab w:val="clear" w:pos="216"/>
          <w:tab w:val="clear" w:pos="432"/>
          <w:tab w:val="clear" w:pos="648"/>
          <w:tab w:val="clear" w:pos="864"/>
          <w:tab w:val="clear" w:pos="1080"/>
          <w:tab w:val="clear" w:pos="1296"/>
          <w:tab w:val="clear" w:pos="5904"/>
          <w:tab w:val="right" w:pos="5933"/>
        </w:tabs>
      </w:pPr>
      <w:r>
        <w:t>S. Printed 4/1/15--S.</w:t>
      </w:r>
      <w:r w:rsidR="00E37C4F">
        <w:tab/>
        <w:t>[SEC 4/7/15 2:37 PM]</w:t>
      </w:r>
    </w:p>
    <w:p w:rsidR="005469B6" w:rsidRDefault="005469B6" w:rsidP="001D7F4F">
      <w:pPr>
        <w:pStyle w:val="BillDots"/>
      </w:pPr>
      <w:r>
        <w:t>Read the first time February 10, 2015.</w:t>
      </w:r>
    </w:p>
    <w:p w:rsidR="005469B6" w:rsidRPr="005469B6" w:rsidRDefault="005469B6" w:rsidP="005469B6">
      <w:pPr>
        <w:pStyle w:val="BillDots"/>
        <w:jc w:val="center"/>
      </w:pPr>
      <w:r>
        <w:rPr>
          <w:u w:val="single"/>
        </w:rPr>
        <w:t>            </w:t>
      </w:r>
    </w:p>
    <w:p w:rsidR="005469B6" w:rsidRDefault="005469B6" w:rsidP="001D7F4F">
      <w:pPr>
        <w:pStyle w:val="BillDots"/>
      </w:pPr>
    </w:p>
    <w:p w:rsidR="005469B6" w:rsidRPr="005469B6" w:rsidRDefault="005469B6" w:rsidP="005469B6">
      <w:pPr>
        <w:pStyle w:val="BillDots"/>
        <w:jc w:val="center"/>
      </w:pPr>
      <w:r>
        <w:rPr>
          <w:b/>
        </w:rPr>
        <w:t>THE COMMITTEE ON JUDICIARY</w:t>
      </w:r>
    </w:p>
    <w:p w:rsidR="005469B6" w:rsidRDefault="005469B6" w:rsidP="001D7F4F">
      <w:pPr>
        <w:pStyle w:val="BillDots"/>
      </w:pPr>
      <w:r>
        <w:tab/>
        <w:t xml:space="preserve">To whom was referred a Bill (H. 3266) </w:t>
      </w:r>
      <w:r w:rsidRPr="005469B6">
        <w:rPr>
          <w:color w:val="000000" w:themeColor="text1"/>
          <w:u w:color="000000" w:themeColor="text1"/>
        </w:rPr>
        <w:t>to amend the Code of Laws of South Carolina, 1976, by adding Chapter 82 to Title 15 so as to establish the “Trespasser Responsibility Act” which provides a limitation</w:t>
      </w:r>
      <w:r>
        <w:t>, etc., respectfully</w:t>
      </w:r>
    </w:p>
    <w:p w:rsidR="005469B6" w:rsidRPr="005469B6" w:rsidRDefault="005469B6" w:rsidP="005469B6">
      <w:pPr>
        <w:pStyle w:val="BillDots"/>
        <w:jc w:val="center"/>
      </w:pPr>
      <w:r>
        <w:rPr>
          <w:b/>
        </w:rPr>
        <w:t>REPORT:</w:t>
      </w:r>
    </w:p>
    <w:p w:rsidR="005469B6" w:rsidRDefault="005469B6" w:rsidP="001D7F4F">
      <w:pPr>
        <w:pStyle w:val="BillDots"/>
      </w:pPr>
      <w:r>
        <w:tab/>
        <w:t>That they have duly and carefully considered the same and recommend that the same do pass with amendment:</w:t>
      </w:r>
    </w:p>
    <w:p w:rsidR="005469B6" w:rsidRDefault="005469B6" w:rsidP="001D7F4F">
      <w:pPr>
        <w:pStyle w:val="BillDots"/>
      </w:pPr>
    </w:p>
    <w:p w:rsidR="005469B6" w:rsidRPr="00192A1F" w:rsidRDefault="005469B6" w:rsidP="005469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192A1F">
        <w:rPr>
          <w:snapToGrid w:val="0"/>
        </w:rPr>
        <w:t>Amend the bill, as and if amended, page 2 by striking line 16 and inserting:</w:t>
      </w:r>
    </w:p>
    <w:p w:rsidR="005469B6" w:rsidRPr="00192A1F" w:rsidRDefault="005469B6" w:rsidP="005469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92A1F">
        <w:t>/</w:t>
      </w:r>
      <w:r w:rsidRPr="00192A1F">
        <w:tab/>
      </w:r>
      <w:r w:rsidRPr="00192A1F">
        <w:tab/>
        <w:t>land may be entitled.</w:t>
      </w:r>
    </w:p>
    <w:p w:rsidR="005469B6" w:rsidRPr="00192A1F" w:rsidRDefault="005469B6" w:rsidP="005469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92A1F">
        <w:tab/>
        <w:t>(E)</w:t>
      </w:r>
      <w:r w:rsidRPr="00192A1F">
        <w:tab/>
        <w:t xml:space="preserve">The provisions of this </w:t>
      </w:r>
      <w:r w:rsidR="00E37C4F">
        <w:t>c</w:t>
      </w:r>
      <w:r w:rsidRPr="00192A1F">
        <w:t>hapter do not affect any right, privilege, or provision of the South Carolina Tort Claims Act pursuant to Chapter 78, Title 15.”</w:t>
      </w:r>
      <w:r w:rsidRPr="00192A1F">
        <w:tab/>
      </w:r>
      <w:r w:rsidRPr="00192A1F">
        <w:tab/>
      </w:r>
      <w:r w:rsidRPr="00192A1F">
        <w:tab/>
        <w:t>/</w:t>
      </w:r>
    </w:p>
    <w:p w:rsidR="005469B6" w:rsidRPr="00192A1F" w:rsidRDefault="005469B6" w:rsidP="005469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192A1F">
        <w:rPr>
          <w:snapToGrid w:val="0"/>
        </w:rPr>
        <w:tab/>
        <w:t>Renumber sections to conform.</w:t>
      </w:r>
    </w:p>
    <w:p w:rsidR="005469B6" w:rsidRDefault="005469B6" w:rsidP="005469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192A1F">
        <w:rPr>
          <w:snapToGrid w:val="0"/>
        </w:rPr>
        <w:tab/>
        <w:t>Amend title to conform.</w:t>
      </w:r>
    </w:p>
    <w:p w:rsidR="005469B6" w:rsidRPr="00192A1F" w:rsidRDefault="005469B6" w:rsidP="005469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5469B6" w:rsidRDefault="005469B6" w:rsidP="001D7F4F">
      <w:pPr>
        <w:pStyle w:val="BillDots"/>
      </w:pPr>
      <w:r>
        <w:t>A. SHANE MASSEY for Committee.</w:t>
      </w:r>
    </w:p>
    <w:p w:rsidR="005469B6" w:rsidRPr="005469B6" w:rsidRDefault="005469B6" w:rsidP="005469B6">
      <w:pPr>
        <w:pStyle w:val="BillDots"/>
        <w:jc w:val="center"/>
      </w:pPr>
      <w:r>
        <w:rPr>
          <w:u w:val="single"/>
        </w:rPr>
        <w:t>            </w:t>
      </w:r>
    </w:p>
    <w:p w:rsidR="005469B6" w:rsidRDefault="005469B6" w:rsidP="001D7F4F">
      <w:pPr>
        <w:pStyle w:val="BillDots"/>
      </w:pPr>
    </w:p>
    <w:p w:rsidR="005469B6" w:rsidRPr="005469B6" w:rsidRDefault="005469B6" w:rsidP="005469B6">
      <w:pPr>
        <w:pStyle w:val="BillDots"/>
        <w:jc w:val="center"/>
      </w:pPr>
      <w:r>
        <w:rPr>
          <w:b/>
          <w:u w:val="single"/>
        </w:rPr>
        <w:t>STATEMENT OF ESTIMATED FISCAL IMPACT</w:t>
      </w:r>
    </w:p>
    <w:p w:rsidR="005469B6" w:rsidRPr="005469B6" w:rsidRDefault="005469B6" w:rsidP="005469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szCs w:val="22"/>
        </w:rPr>
      </w:pPr>
      <w:r w:rsidRPr="005469B6">
        <w:rPr>
          <w:b/>
          <w:bCs/>
          <w:szCs w:val="22"/>
        </w:rPr>
        <w:t>Fiscal Impact Summary</w:t>
      </w:r>
    </w:p>
    <w:p w:rsidR="005469B6" w:rsidRPr="005469B6" w:rsidRDefault="005469B6" w:rsidP="005469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5469B6">
        <w:rPr>
          <w:rFonts w:eastAsiaTheme="minorHAnsi" w:cstheme="minorBidi"/>
          <w:szCs w:val="22"/>
        </w:rPr>
        <w:tab/>
        <w:t xml:space="preserve">The Judicial Department anticipates minimal expenditure impact, if </w:t>
      </w:r>
      <w:r w:rsidRPr="005469B6">
        <w:rPr>
          <w:rFonts w:eastAsia="Calibri"/>
          <w:szCs w:val="22"/>
        </w:rPr>
        <w:t xml:space="preserve">any, on the general fund.  There is no impact on federal or other </w:t>
      </w:r>
      <w:r w:rsidRPr="005469B6">
        <w:rPr>
          <w:rFonts w:eastAsiaTheme="minorHAnsi" w:cstheme="minorBidi"/>
          <w:szCs w:val="22"/>
        </w:rPr>
        <w:t xml:space="preserve">funds.  </w:t>
      </w:r>
    </w:p>
    <w:p w:rsidR="005469B6" w:rsidRPr="005469B6" w:rsidRDefault="005469B6" w:rsidP="005469B6">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ajorEastAsia" w:cstheme="majorBidi"/>
          <w:b/>
          <w:bCs/>
          <w:szCs w:val="22"/>
        </w:rPr>
      </w:pPr>
      <w:r w:rsidRPr="005469B6">
        <w:rPr>
          <w:rFonts w:eastAsiaTheme="majorEastAsia" w:cstheme="majorBidi"/>
          <w:b/>
          <w:bCs/>
          <w:szCs w:val="22"/>
        </w:rPr>
        <w:lastRenderedPageBreak/>
        <w:t>Explanation of Fiscal Impact</w:t>
      </w:r>
    </w:p>
    <w:p w:rsidR="005469B6" w:rsidRPr="005469B6" w:rsidRDefault="005469B6" w:rsidP="005469B6">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szCs w:val="22"/>
        </w:rPr>
      </w:pPr>
      <w:r w:rsidRPr="005469B6">
        <w:rPr>
          <w:b/>
          <w:bCs/>
          <w:szCs w:val="22"/>
        </w:rPr>
        <w:t>State Expenditure</w:t>
      </w:r>
    </w:p>
    <w:p w:rsidR="005469B6" w:rsidRPr="005469B6" w:rsidRDefault="005469B6" w:rsidP="005469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5469B6">
        <w:rPr>
          <w:rFonts w:eastAsiaTheme="minorHAnsi" w:cstheme="minorBidi"/>
          <w:szCs w:val="22"/>
        </w:rPr>
        <w:tab/>
        <w:t xml:space="preserve">This bill limits a land owner’s civil liability to trespassers in certain circumstances.  As this bill reduces the ability to bring a court action, the Judicial Department anticipates that it will have minimal impact, if any, on the general fund.  There is no impact on federal or other funds.  </w:t>
      </w:r>
    </w:p>
    <w:p w:rsidR="005469B6" w:rsidRDefault="005469B6" w:rsidP="001D7F4F">
      <w:pPr>
        <w:pStyle w:val="BillDots"/>
      </w:pPr>
    </w:p>
    <w:p w:rsidR="005469B6" w:rsidRDefault="005469B6" w:rsidP="001D7F4F">
      <w:pPr>
        <w:pStyle w:val="BillDots"/>
      </w:pPr>
      <w:r>
        <w:t>Frank A. Rainwater, Executive Director</w:t>
      </w:r>
    </w:p>
    <w:p w:rsidR="005469B6" w:rsidRPr="005469B6" w:rsidRDefault="005469B6" w:rsidP="001D7F4F">
      <w:pPr>
        <w:pStyle w:val="BillDots"/>
      </w:pPr>
      <w:r>
        <w:t>Revenue and Fiscal Affairs Office</w:t>
      </w:r>
    </w:p>
    <w:p w:rsidR="005469B6" w:rsidRDefault="005469B6" w:rsidP="001D7F4F">
      <w:pPr>
        <w:pStyle w:val="BillDots"/>
      </w:pPr>
    </w:p>
    <w:p w:rsidR="005469B6" w:rsidRDefault="005469B6" w:rsidP="001D7F4F">
      <w:pPr>
        <w:pStyle w:val="BillDots"/>
        <w:sectPr w:rsidR="005469B6" w:rsidSect="0070601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4D66E3" w:rsidRDefault="004D66E3"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D66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8D11E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34D6" w:rsidRPr="007D6065" w:rsidRDefault="00FB34D6" w:rsidP="00FB34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7D6065">
        <w:rPr>
          <w:color w:val="000000" w:themeColor="text1"/>
          <w:u w:color="000000" w:themeColor="text1"/>
        </w:rPr>
        <w:t>TO AMEND THE CODE OF LAWS OF SOUTH CAROLINA, 1976, BY ADDING CHAPTER 82 TO TITLE 15 SO AS TO ESTABLISH THE “TRESPASSER RESPONSIBILITY ACT” WHICH PROVIDES A LIMITATION ON LIABILITY BY LAND POSSESSORS TO TRESPASSERS</w:t>
      </w:r>
      <w:r w:rsidR="00D6618C">
        <w:rPr>
          <w:color w:val="000000" w:themeColor="text1"/>
          <w:u w:color="000000" w:themeColor="text1"/>
        </w:rPr>
        <w:t>,</w:t>
      </w:r>
      <w:r w:rsidR="00AD2060">
        <w:rPr>
          <w:color w:val="000000" w:themeColor="text1"/>
          <w:u w:color="000000" w:themeColor="text1"/>
        </w:rPr>
        <w:t xml:space="preserve"> AND TO PROVIDE EXCEPTIONS</w:t>
      </w:r>
      <w:r w:rsidRPr="007D6065">
        <w:rPr>
          <w:color w:val="000000" w:themeColor="text1"/>
          <w:u w:color="000000" w:themeColor="text1"/>
        </w:rPr>
        <w:t>.</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D11E0" w:rsidRDefault="008D11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D11E0" w:rsidRDefault="008D11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34D6" w:rsidRPr="007D6065" w:rsidRDefault="00FB34D6" w:rsidP="00FB34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6065">
        <w:rPr>
          <w:color w:val="000000" w:themeColor="text1"/>
          <w:u w:color="000000" w:themeColor="text1"/>
        </w:rPr>
        <w:t>SECTION</w:t>
      </w:r>
      <w:r w:rsidRPr="007D6065">
        <w:rPr>
          <w:color w:val="000000" w:themeColor="text1"/>
          <w:u w:color="000000" w:themeColor="text1"/>
        </w:rPr>
        <w:tab/>
        <w:t>1.</w:t>
      </w:r>
      <w:r w:rsidRPr="007D6065">
        <w:rPr>
          <w:color w:val="000000" w:themeColor="text1"/>
          <w:u w:color="000000" w:themeColor="text1"/>
        </w:rPr>
        <w:tab/>
        <w:t>Title 15 of the 1976 Code is amended by adding:</w:t>
      </w:r>
    </w:p>
    <w:p w:rsidR="00FB34D6" w:rsidRPr="007D6065" w:rsidRDefault="00FB34D6" w:rsidP="00FB34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34D6" w:rsidRPr="007D6065" w:rsidRDefault="00FB34D6" w:rsidP="00FB34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7D6065">
        <w:rPr>
          <w:color w:val="000000" w:themeColor="text1"/>
          <w:u w:color="000000" w:themeColor="text1"/>
        </w:rPr>
        <w:t>“CHAPTER 82</w:t>
      </w:r>
    </w:p>
    <w:p w:rsidR="00FB34D6" w:rsidRPr="007D6065" w:rsidRDefault="00FB34D6" w:rsidP="00FB34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FB34D6" w:rsidRPr="007D6065" w:rsidRDefault="00FB34D6" w:rsidP="00FB34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7D6065">
        <w:rPr>
          <w:color w:val="000000" w:themeColor="text1"/>
          <w:u w:color="000000" w:themeColor="text1"/>
        </w:rPr>
        <w:t>Limitation on Liability of Land Possessors to Trespassers</w:t>
      </w:r>
    </w:p>
    <w:p w:rsidR="00FB34D6" w:rsidRPr="007D6065" w:rsidRDefault="00FB34D6" w:rsidP="00FB34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FB34D6" w:rsidRPr="007D6065" w:rsidRDefault="00FB34D6" w:rsidP="00FB34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7D6065">
        <w:rPr>
          <w:color w:val="000000" w:themeColor="text1"/>
          <w:u w:color="000000" w:themeColor="text1"/>
        </w:rPr>
        <w:t>Trespasser Responsibility Act</w:t>
      </w:r>
    </w:p>
    <w:p w:rsidR="00FB34D6" w:rsidRPr="007D6065" w:rsidRDefault="00FB34D6" w:rsidP="00FB34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FB34D6" w:rsidRPr="007D6065" w:rsidRDefault="00FB34D6" w:rsidP="00FB34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6065">
        <w:rPr>
          <w:color w:val="000000" w:themeColor="text1"/>
          <w:u w:color="000000" w:themeColor="text1"/>
        </w:rPr>
        <w:tab/>
        <w:t>Section 15</w:t>
      </w:r>
      <w:r w:rsidRPr="007D6065">
        <w:rPr>
          <w:color w:val="000000" w:themeColor="text1"/>
          <w:u w:color="000000" w:themeColor="text1"/>
        </w:rPr>
        <w:noBreakHyphen/>
        <w:t>82</w:t>
      </w:r>
      <w:r w:rsidRPr="007D6065">
        <w:rPr>
          <w:color w:val="000000" w:themeColor="text1"/>
          <w:u w:color="000000" w:themeColor="text1"/>
        </w:rPr>
        <w:noBreakHyphen/>
        <w:t>10.</w:t>
      </w:r>
      <w:r w:rsidRPr="007D6065">
        <w:rPr>
          <w:color w:val="000000" w:themeColor="text1"/>
          <w:u w:color="000000" w:themeColor="text1"/>
        </w:rPr>
        <w:tab/>
        <w:t>(A)</w:t>
      </w:r>
      <w:r w:rsidRPr="007D6065">
        <w:rPr>
          <w:color w:val="000000" w:themeColor="text1"/>
          <w:u w:color="000000" w:themeColor="text1"/>
        </w:rPr>
        <w:tab/>
        <w:t>As used in this section, the terms:</w:t>
      </w:r>
    </w:p>
    <w:p w:rsidR="00FB34D6" w:rsidRPr="007D6065" w:rsidRDefault="00FB34D6" w:rsidP="00FB34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6065">
        <w:rPr>
          <w:color w:val="000000" w:themeColor="text1"/>
          <w:u w:color="000000" w:themeColor="text1"/>
        </w:rPr>
        <w:tab/>
      </w:r>
      <w:r w:rsidRPr="007D6065">
        <w:rPr>
          <w:color w:val="000000" w:themeColor="text1"/>
          <w:u w:color="000000" w:themeColor="text1"/>
        </w:rPr>
        <w:tab/>
        <w:t>(1)</w:t>
      </w:r>
      <w:r w:rsidRPr="007D6065">
        <w:rPr>
          <w:color w:val="000000" w:themeColor="text1"/>
          <w:u w:color="000000" w:themeColor="text1"/>
        </w:rPr>
        <w:tab/>
        <w:t>‘Possessor of land’ means the possessor of any fee, reversionary, or easement interest in real property, including an owner, l</w:t>
      </w:r>
      <w:r w:rsidR="004D4016">
        <w:rPr>
          <w:color w:val="000000" w:themeColor="text1"/>
          <w:u w:color="000000" w:themeColor="text1"/>
        </w:rPr>
        <w:t>essee, or other lawful occupant.</w:t>
      </w:r>
    </w:p>
    <w:p w:rsidR="00FB34D6" w:rsidRPr="007D6065" w:rsidRDefault="00FB34D6" w:rsidP="00FB34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6065">
        <w:rPr>
          <w:color w:val="000000" w:themeColor="text1"/>
          <w:u w:color="000000" w:themeColor="text1"/>
        </w:rPr>
        <w:tab/>
      </w:r>
      <w:r w:rsidRPr="007D6065">
        <w:rPr>
          <w:color w:val="000000" w:themeColor="text1"/>
          <w:u w:color="000000" w:themeColor="text1"/>
        </w:rPr>
        <w:tab/>
        <w:t>(2)</w:t>
      </w:r>
      <w:r w:rsidRPr="007D6065">
        <w:rPr>
          <w:color w:val="000000" w:themeColor="text1"/>
          <w:u w:color="000000" w:themeColor="text1"/>
        </w:rPr>
        <w:tab/>
        <w:t>‘Trespasser’ means a person who enters or remains on the land of another without permission or without legal privilege.</w:t>
      </w:r>
    </w:p>
    <w:p w:rsidR="00FB34D6" w:rsidRPr="007D6065" w:rsidRDefault="00FB34D6" w:rsidP="00FB34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6065">
        <w:rPr>
          <w:color w:val="000000" w:themeColor="text1"/>
          <w:u w:color="000000" w:themeColor="text1"/>
        </w:rPr>
        <w:tab/>
        <w:t>(B)</w:t>
      </w:r>
      <w:r w:rsidRPr="007D6065">
        <w:rPr>
          <w:color w:val="000000" w:themeColor="text1"/>
          <w:u w:color="000000" w:themeColor="text1"/>
        </w:rPr>
        <w:tab/>
        <w:t>A possessor of land owes no duty to a trespasser except to refrain from causing a wilful or wanton injury.</w:t>
      </w:r>
    </w:p>
    <w:p w:rsidR="00FB34D6" w:rsidRPr="007D6065" w:rsidRDefault="00FB34D6" w:rsidP="00FB34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6065">
        <w:rPr>
          <w:color w:val="000000" w:themeColor="text1"/>
          <w:u w:color="000000" w:themeColor="text1"/>
        </w:rPr>
        <w:tab/>
        <w:t>(C)</w:t>
      </w:r>
      <w:r w:rsidRPr="007D6065">
        <w:rPr>
          <w:color w:val="000000" w:themeColor="text1"/>
          <w:u w:color="000000" w:themeColor="text1"/>
        </w:rPr>
        <w:tab/>
        <w:t>Notwithstanding subsection (B), a possessor of land is subject to liability for physical harm to children trespassing thereon caused by an artificial condition upon the land if:</w:t>
      </w:r>
    </w:p>
    <w:p w:rsidR="00FB34D6" w:rsidRPr="007D6065" w:rsidRDefault="00FB34D6" w:rsidP="00FB34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6065">
        <w:rPr>
          <w:color w:val="000000" w:themeColor="text1"/>
          <w:u w:color="000000" w:themeColor="text1"/>
        </w:rPr>
        <w:tab/>
      </w:r>
      <w:r w:rsidRPr="007D6065">
        <w:rPr>
          <w:color w:val="000000" w:themeColor="text1"/>
          <w:u w:color="000000" w:themeColor="text1"/>
        </w:rPr>
        <w:tab/>
        <w:t>(1)</w:t>
      </w:r>
      <w:r w:rsidRPr="007D6065">
        <w:rPr>
          <w:color w:val="000000" w:themeColor="text1"/>
          <w:u w:color="000000" w:themeColor="text1"/>
        </w:rPr>
        <w:tab/>
        <w:t>the place where the condition exists is one upon which the possessor knows or has reason to know that children are likely to trespass;</w:t>
      </w:r>
    </w:p>
    <w:p w:rsidR="00FB34D6" w:rsidRPr="007D6065" w:rsidRDefault="00FB34D6" w:rsidP="00FB34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6065">
        <w:rPr>
          <w:color w:val="000000" w:themeColor="text1"/>
          <w:u w:color="000000" w:themeColor="text1"/>
        </w:rPr>
        <w:lastRenderedPageBreak/>
        <w:tab/>
      </w:r>
      <w:r w:rsidRPr="007D6065">
        <w:rPr>
          <w:color w:val="000000" w:themeColor="text1"/>
          <w:u w:color="000000" w:themeColor="text1"/>
        </w:rPr>
        <w:tab/>
        <w:t>(2)</w:t>
      </w:r>
      <w:r w:rsidRPr="007D6065">
        <w:rPr>
          <w:color w:val="000000" w:themeColor="text1"/>
          <w:u w:color="000000" w:themeColor="text1"/>
        </w:rPr>
        <w:tab/>
        <w:t xml:space="preserve">the condition is one of which the possessor knows or has reason to know and which he realizes or should realize will involve an unreasonable risk of death or serious bodily harm to such children; </w:t>
      </w:r>
    </w:p>
    <w:p w:rsidR="00FB34D6" w:rsidRPr="007D6065" w:rsidRDefault="00FB34D6" w:rsidP="00FB34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6065">
        <w:rPr>
          <w:color w:val="000000" w:themeColor="text1"/>
          <w:u w:color="000000" w:themeColor="text1"/>
        </w:rPr>
        <w:tab/>
      </w:r>
      <w:r w:rsidRPr="007D6065">
        <w:rPr>
          <w:color w:val="000000" w:themeColor="text1"/>
          <w:u w:color="000000" w:themeColor="text1"/>
        </w:rPr>
        <w:tab/>
        <w:t>(3)</w:t>
      </w:r>
      <w:r w:rsidRPr="007D6065">
        <w:rPr>
          <w:color w:val="000000" w:themeColor="text1"/>
          <w:u w:color="000000" w:themeColor="text1"/>
        </w:rPr>
        <w:tab/>
        <w:t xml:space="preserve">the children because of their youth do not discover the condition or realize the risk involved in intermeddling with it or in coming within the area made dangerous by it; </w:t>
      </w:r>
    </w:p>
    <w:p w:rsidR="00FB34D6" w:rsidRPr="007D6065" w:rsidRDefault="00FB34D6" w:rsidP="00FB34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6065">
        <w:rPr>
          <w:color w:val="000000" w:themeColor="text1"/>
          <w:u w:color="000000" w:themeColor="text1"/>
        </w:rPr>
        <w:tab/>
      </w:r>
      <w:r w:rsidRPr="007D6065">
        <w:rPr>
          <w:color w:val="000000" w:themeColor="text1"/>
          <w:u w:color="000000" w:themeColor="text1"/>
        </w:rPr>
        <w:tab/>
        <w:t>(4)</w:t>
      </w:r>
      <w:r w:rsidRPr="007D6065">
        <w:rPr>
          <w:color w:val="000000" w:themeColor="text1"/>
          <w:u w:color="000000" w:themeColor="text1"/>
        </w:rPr>
        <w:tab/>
        <w:t xml:space="preserve">the utility to the possessor of maintaining the condition and the burden of eliminating the danger are slight as compared with the risk to children involved; and </w:t>
      </w:r>
    </w:p>
    <w:p w:rsidR="00FB34D6" w:rsidRPr="007D6065" w:rsidRDefault="00FB34D6" w:rsidP="00FB34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6065">
        <w:rPr>
          <w:color w:val="000000" w:themeColor="text1"/>
          <w:u w:color="000000" w:themeColor="text1"/>
        </w:rPr>
        <w:tab/>
      </w:r>
      <w:r w:rsidRPr="007D6065">
        <w:rPr>
          <w:color w:val="000000" w:themeColor="text1"/>
          <w:u w:color="000000" w:themeColor="text1"/>
        </w:rPr>
        <w:tab/>
        <w:t>(5)</w:t>
      </w:r>
      <w:r w:rsidRPr="007D6065">
        <w:rPr>
          <w:color w:val="000000" w:themeColor="text1"/>
          <w:u w:color="000000" w:themeColor="text1"/>
        </w:rPr>
        <w:tab/>
        <w:t xml:space="preserve">the possessor fails to exercise reasonable care to eliminate the danger or otherwise to protect the children. </w:t>
      </w:r>
    </w:p>
    <w:p w:rsidR="00FB34D6" w:rsidRPr="007D6065" w:rsidRDefault="00FB34D6" w:rsidP="00FB34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6065">
        <w:rPr>
          <w:color w:val="000000" w:themeColor="text1"/>
          <w:u w:color="000000" w:themeColor="text1"/>
        </w:rPr>
        <w:tab/>
        <w:t>(D)</w:t>
      </w:r>
      <w:r w:rsidRPr="007D6065">
        <w:rPr>
          <w:color w:val="000000" w:themeColor="text1"/>
          <w:u w:color="000000" w:themeColor="text1"/>
        </w:rPr>
        <w:tab/>
        <w:t>This chapter does not affect any immunities from or defenses to civil liability established by another section of the South Carolina Code of Laws or available at common law to which a possessor of land may be entitled.”</w:t>
      </w:r>
    </w:p>
    <w:p w:rsidR="00FB34D6" w:rsidRPr="007D6065" w:rsidRDefault="00FB34D6" w:rsidP="00FB34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D11E0" w:rsidRPr="00FB34D6" w:rsidRDefault="00FB34D6" w:rsidP="00FB34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6065">
        <w:rPr>
          <w:color w:val="000000" w:themeColor="text1"/>
          <w:u w:color="000000" w:themeColor="text1"/>
        </w:rPr>
        <w:t>SECTION</w:t>
      </w:r>
      <w:r w:rsidRPr="007D6065">
        <w:rPr>
          <w:color w:val="000000" w:themeColor="text1"/>
          <w:u w:color="000000" w:themeColor="text1"/>
        </w:rPr>
        <w:tab/>
        <w:t>2.</w:t>
      </w:r>
      <w:r w:rsidRPr="007D6065">
        <w:rPr>
          <w:color w:val="000000" w:themeColor="text1"/>
          <w:u w:color="000000" w:themeColor="text1"/>
        </w:rPr>
        <w:tab/>
        <w:t>This act takes effect upon approval by the Governor</w:t>
      </w:r>
      <w:r w:rsidR="008D11E0">
        <w:t>.</w:t>
      </w:r>
    </w:p>
    <w:p w:rsidR="00EF1830"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A5D2E" w:rsidRDefault="00EA5D2E" w:rsidP="00EA5D2E">
      <w:pPr>
        <w:suppressAutoHyphens/>
      </w:pPr>
    </w:p>
    <w:sectPr w:rsidR="00EA5D2E" w:rsidSect="0070601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D11E0" w:rsidRDefault="008D11E0" w:rsidP="009F0C77">
      <w:r>
        <w:separator/>
      </w:r>
    </w:p>
  </w:endnote>
  <w:endnote w:type="continuationSeparator" w:id="0">
    <w:p w:rsidR="008D11E0" w:rsidRDefault="008D11E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3977346-20BC-492C-99F4-E04F8287C116}"/>
    <w:embedBold r:id="rId2" w:fontKey="{ED8F0AF0-17C5-4791-B7F4-ADCC77EBF65C}"/>
  </w:font>
  <w:font w:name="Calibri">
    <w:panose1 w:val="020F0502020204030204"/>
    <w:charset w:val="00"/>
    <w:family w:val="swiss"/>
    <w:pitch w:val="variable"/>
    <w:sig w:usb0="E10002FF" w:usb1="4000ACFF" w:usb2="00000009" w:usb3="00000000" w:csb0="0000019F" w:csb1="00000000"/>
    <w:embedRegular r:id="rId3" w:fontKey="{3B05C7A9-7095-4570-976B-4BFD6C67DF77}"/>
  </w:font>
  <w:font w:name="Segoe UI">
    <w:panose1 w:val="020B0502040204020203"/>
    <w:charset w:val="00"/>
    <w:family w:val="swiss"/>
    <w:pitch w:val="variable"/>
    <w:sig w:usb0="E10022FF" w:usb1="C000E47F" w:usb2="00000029" w:usb3="00000000" w:csb0="000001DF" w:csb1="00000000"/>
    <w:embedRegular r:id="rId4" w:fontKey="{69A90902-92A2-4454-9C5B-F79D6B91759A}"/>
  </w:font>
  <w:font w:name="Cambria">
    <w:panose1 w:val="02040503050406030204"/>
    <w:charset w:val="00"/>
    <w:family w:val="roman"/>
    <w:pitch w:val="variable"/>
    <w:sig w:usb0="E00002FF" w:usb1="400004FF" w:usb2="00000000" w:usb3="00000000" w:csb0="0000019F" w:csb1="00000000"/>
    <w:embedRegular r:id="rId5" w:fontKey="{6D3EB132-4FB2-414A-8091-5268505FC29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1830" w:rsidRPr="004D66E3" w:rsidRDefault="004D66E3" w:rsidP="004D66E3">
    <w:pPr>
      <w:pStyle w:val="Footer"/>
      <w:tabs>
        <w:tab w:val="clear" w:pos="4680"/>
        <w:tab w:val="clear" w:pos="9360"/>
        <w:tab w:val="center" w:pos="2995"/>
      </w:tabs>
      <w:spacing w:before="120"/>
    </w:pPr>
    <w:r>
      <w:t>[3266</w:t>
    </w:r>
    <w:r w:rsidR="00706013">
      <w:t>-</w:t>
    </w:r>
    <w:r w:rsidR="00706013">
      <w:fldChar w:fldCharType="begin"/>
    </w:r>
    <w:r w:rsidR="00706013">
      <w:instrText xml:space="preserve"> PAGE  \* MERGEFORMAT </w:instrText>
    </w:r>
    <w:r w:rsidR="00706013">
      <w:fldChar w:fldCharType="separate"/>
    </w:r>
    <w:r w:rsidR="00EA5D2E">
      <w:rPr>
        <w:noProof/>
      </w:rPr>
      <w:t>2</w:t>
    </w:r>
    <w:r w:rsidR="00706013">
      <w:fldChar w:fldCharType="end"/>
    </w:r>
    <w:r w:rsidR="00706013">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6013" w:rsidRPr="004D66E3" w:rsidRDefault="00706013" w:rsidP="004D66E3">
    <w:pPr>
      <w:pStyle w:val="Footer"/>
      <w:tabs>
        <w:tab w:val="clear" w:pos="4680"/>
        <w:tab w:val="clear" w:pos="9360"/>
        <w:tab w:val="center" w:pos="2995"/>
      </w:tabs>
      <w:spacing w:before="120"/>
    </w:pPr>
    <w:r>
      <w:t>[3266]</w:t>
    </w:r>
    <w:r>
      <w:tab/>
    </w:r>
    <w:r>
      <w:fldChar w:fldCharType="begin"/>
    </w:r>
    <w:r>
      <w:instrText xml:space="preserve"> PAGE  \* MERGEFORMAT </w:instrText>
    </w:r>
    <w:r>
      <w:fldChar w:fldCharType="separate"/>
    </w:r>
    <w:r w:rsidR="00EA5D2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D11E0" w:rsidRDefault="008D11E0" w:rsidP="009F0C77">
      <w:r>
        <w:separator/>
      </w:r>
    </w:p>
  </w:footnote>
  <w:footnote w:type="continuationSeparator" w:id="0">
    <w:p w:rsidR="008D11E0" w:rsidRDefault="008D11E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6173DG15"/>
    <w:docVar w:name="CoverBillType" w:val="b"/>
    <w:docVar w:name="docpath" w:val="L:\Council\bills\BH\26173DG15.DOCX"/>
    <w:docVar w:name="dvBillNumber" w:val="3266"/>
    <w:docVar w:name="dvBillNumberPrefix" w:val="H. "/>
    <w:docVar w:name="dvOriginalBody" w:val="House"/>
    <w:docVar w:name="dvSteno" w:val="BH"/>
    <w:docVar w:name="NameofBody" w:val="h"/>
    <w:docVar w:name="vgroup2" w:val="Council"/>
  </w:docVars>
  <w:rsids>
    <w:rsidRoot w:val="008D11E0"/>
    <w:rsid w:val="00011869"/>
    <w:rsid w:val="00015CD6"/>
    <w:rsid w:val="00071CF5"/>
    <w:rsid w:val="000E1785"/>
    <w:rsid w:val="000F40FA"/>
    <w:rsid w:val="0010776B"/>
    <w:rsid w:val="00133E66"/>
    <w:rsid w:val="001435A3"/>
    <w:rsid w:val="001647FE"/>
    <w:rsid w:val="001D08F2"/>
    <w:rsid w:val="001D525B"/>
    <w:rsid w:val="001D7F4F"/>
    <w:rsid w:val="002321B6"/>
    <w:rsid w:val="00250967"/>
    <w:rsid w:val="002543C8"/>
    <w:rsid w:val="00284AAE"/>
    <w:rsid w:val="002E5912"/>
    <w:rsid w:val="00301B21"/>
    <w:rsid w:val="00325348"/>
    <w:rsid w:val="0032732C"/>
    <w:rsid w:val="00336AD0"/>
    <w:rsid w:val="0037079A"/>
    <w:rsid w:val="003D01E8"/>
    <w:rsid w:val="003E5288"/>
    <w:rsid w:val="003F6D79"/>
    <w:rsid w:val="0041760A"/>
    <w:rsid w:val="00417C01"/>
    <w:rsid w:val="0045674B"/>
    <w:rsid w:val="004809EE"/>
    <w:rsid w:val="004D4016"/>
    <w:rsid w:val="004D66E3"/>
    <w:rsid w:val="004E7D54"/>
    <w:rsid w:val="005273C6"/>
    <w:rsid w:val="00530A69"/>
    <w:rsid w:val="00545593"/>
    <w:rsid w:val="005469B6"/>
    <w:rsid w:val="00577C6C"/>
    <w:rsid w:val="005C2FE2"/>
    <w:rsid w:val="005E2BC9"/>
    <w:rsid w:val="00605102"/>
    <w:rsid w:val="006215AA"/>
    <w:rsid w:val="006913C9"/>
    <w:rsid w:val="0069470D"/>
    <w:rsid w:val="00706013"/>
    <w:rsid w:val="00734F00"/>
    <w:rsid w:val="0075659A"/>
    <w:rsid w:val="007A70AE"/>
    <w:rsid w:val="008362E8"/>
    <w:rsid w:val="008A1768"/>
    <w:rsid w:val="008D11E0"/>
    <w:rsid w:val="008F0F33"/>
    <w:rsid w:val="008F4429"/>
    <w:rsid w:val="0094021A"/>
    <w:rsid w:val="009521CE"/>
    <w:rsid w:val="009B44AF"/>
    <w:rsid w:val="009C6A0B"/>
    <w:rsid w:val="009F0C77"/>
    <w:rsid w:val="009F4DD1"/>
    <w:rsid w:val="00A41684"/>
    <w:rsid w:val="00A64E80"/>
    <w:rsid w:val="00A72BCD"/>
    <w:rsid w:val="00A741D9"/>
    <w:rsid w:val="00A833AB"/>
    <w:rsid w:val="00A9741D"/>
    <w:rsid w:val="00AD2060"/>
    <w:rsid w:val="00AD4B17"/>
    <w:rsid w:val="00B412D4"/>
    <w:rsid w:val="00BE3C22"/>
    <w:rsid w:val="00C0345E"/>
    <w:rsid w:val="00C3483A"/>
    <w:rsid w:val="00C74E9D"/>
    <w:rsid w:val="00C82FD3"/>
    <w:rsid w:val="00C92819"/>
    <w:rsid w:val="00CC6B7B"/>
    <w:rsid w:val="00CD2089"/>
    <w:rsid w:val="00D6618C"/>
    <w:rsid w:val="00D73A67"/>
    <w:rsid w:val="00D970A9"/>
    <w:rsid w:val="00DF3845"/>
    <w:rsid w:val="00E37C4F"/>
    <w:rsid w:val="00E41911"/>
    <w:rsid w:val="00E92EEF"/>
    <w:rsid w:val="00EA5D2E"/>
    <w:rsid w:val="00EF1830"/>
    <w:rsid w:val="00F24442"/>
    <w:rsid w:val="00F50AE3"/>
    <w:rsid w:val="00F549DC"/>
    <w:rsid w:val="00F67CF1"/>
    <w:rsid w:val="00F840F0"/>
    <w:rsid w:val="00FB0D0D"/>
    <w:rsid w:val="00FB34D6"/>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C803C72-7E2F-4319-A5C8-FC2ED90D1D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647F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647F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5C753B-818B-45BC-AC52-0D00499396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E704B0E8.dotm</Template>
  <TotalTime>0</TotalTime>
  <Pages>4</Pages>
  <Words>650</Words>
  <Characters>3283</Characters>
  <Application>Microsoft Office Word</Application>
  <DocSecurity>0</DocSecurity>
  <Lines>114</Lines>
  <Paragraphs>44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3952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3266 Text of Previous Version (Apr. 7, 2015) - South Carolina Legislature Online</dc:title>
  <dc:creator>%USERNAME%</dc:creator>
  <cp:lastModifiedBy>Angela Hopkins</cp:lastModifiedBy>
  <cp:revision>2</cp:revision>
  <cp:lastPrinted>2015-01-29T17:13:00Z</cp:lastPrinted>
  <dcterms:created xsi:type="dcterms:W3CDTF">2015-04-07T18:37:00Z</dcterms:created>
  <dcterms:modified xsi:type="dcterms:W3CDTF">2015-04-07T18:37:00Z</dcterms:modified>
</cp:coreProperties>
</file>