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60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B3152" w:rsidRP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23, 2016</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Pr="00DB3152" w:rsidRDefault="00DB3152" w:rsidP="00DB3152">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Pope, Simrill, Ballentine, Felder, Atwater, Bedingfield, Spires, Clary, Collins, Delleney, Hamilton, Hiott, Hixon, V.S. Moss, Norman, Stringer, Toole, W.J. McLeod and Newton</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3/23/16--S.</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4, 2015.</w:t>
      </w:r>
    </w:p>
    <w:p w:rsidR="00DB3152" w:rsidRPr="00DB3152" w:rsidRDefault="00DB3152" w:rsidP="00DB31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Pr="00DB3152" w:rsidRDefault="00DB3152" w:rsidP="00DB31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FINANCE</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3313) </w:t>
      </w:r>
      <w:r w:rsidRPr="00DB3152">
        <w:rPr>
          <w:color w:val="000000" w:themeColor="text1"/>
          <w:u w:color="000000" w:themeColor="text1"/>
        </w:rPr>
        <w:t>to amend the Code of Laws of South Carolina, 1976, by adding Section 12</w:t>
      </w:r>
      <w:r w:rsidRPr="00DB3152">
        <w:rPr>
          <w:color w:val="000000" w:themeColor="text1"/>
          <w:u w:color="000000" w:themeColor="text1"/>
        </w:rPr>
        <w:noBreakHyphen/>
        <w:t>43</w:t>
      </w:r>
      <w:r w:rsidRPr="00DB3152">
        <w:rPr>
          <w:color w:val="000000" w:themeColor="text1"/>
          <w:u w:color="000000" w:themeColor="text1"/>
        </w:rPr>
        <w:noBreakHyphen/>
        <w:t>222 so as to provide when calculating roll</w:t>
      </w:r>
      <w:r w:rsidRPr="00DB3152">
        <w:rPr>
          <w:color w:val="000000" w:themeColor="text1"/>
          <w:u w:color="000000" w:themeColor="text1"/>
        </w:rPr>
        <w:noBreakHyphen/>
        <w:t>back tax due on a</w:t>
      </w:r>
      <w:r>
        <w:t xml:space="preserve"> parcel, etc., respectfully</w:t>
      </w:r>
    </w:p>
    <w:p w:rsidR="00DB3152" w:rsidRPr="00DB3152" w:rsidRDefault="00DB3152" w:rsidP="00DB31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Pr="002A4F91"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4F91">
        <w:rPr>
          <w:snapToGrid w:val="0"/>
        </w:rPr>
        <w:tab/>
        <w:t>Amend the bill, as and if amended, by striking SECTION 1 and inserting:</w:t>
      </w:r>
    </w:p>
    <w:p w:rsidR="00DB3152" w:rsidRPr="002A4F91"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A4F91">
        <w:rPr>
          <w:snapToGrid w:val="0"/>
        </w:rPr>
        <w:t>/</w:t>
      </w:r>
      <w:r w:rsidRPr="002A4F91">
        <w:rPr>
          <w:snapToGrid w:val="0"/>
        </w:rPr>
        <w:tab/>
      </w:r>
      <w:r w:rsidRPr="002A4F91">
        <w:rPr>
          <w:u w:color="000000" w:themeColor="text1"/>
        </w:rPr>
        <w:t>SECTION</w:t>
      </w:r>
      <w:r w:rsidRPr="002A4F91">
        <w:rPr>
          <w:u w:color="000000" w:themeColor="text1"/>
        </w:rPr>
        <w:tab/>
        <w:t>1.</w:t>
      </w:r>
      <w:r w:rsidRPr="002A4F91">
        <w:rPr>
          <w:u w:color="000000" w:themeColor="text1"/>
        </w:rPr>
        <w:tab/>
        <w:t>Article 3, Chapter 43, Title 12 of the 1976 Code is amended by adding:</w:t>
      </w:r>
    </w:p>
    <w:p w:rsidR="00DB3152" w:rsidRPr="002A4F91"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F91">
        <w:rPr>
          <w:u w:color="000000" w:themeColor="text1"/>
        </w:rPr>
        <w:tab/>
        <w:t>“Section 12</w:t>
      </w:r>
      <w:r w:rsidRPr="002A4F91">
        <w:rPr>
          <w:u w:color="000000" w:themeColor="text1"/>
        </w:rPr>
        <w:noBreakHyphen/>
        <w:t>43</w:t>
      </w:r>
      <w:r w:rsidRPr="002A4F91">
        <w:rPr>
          <w:u w:color="000000" w:themeColor="text1"/>
        </w:rPr>
        <w:noBreakHyphen/>
        <w:t>222.</w:t>
      </w:r>
      <w:r w:rsidRPr="002A4F91">
        <w:rPr>
          <w:u w:color="000000" w:themeColor="text1"/>
        </w:rPr>
        <w:tab/>
        <w:t>(A)</w:t>
      </w:r>
      <w:r w:rsidRPr="002A4F91">
        <w:rPr>
          <w:u w:color="000000" w:themeColor="text1"/>
        </w:rPr>
        <w:tab/>
        <w:t>Notwithstanding the provisions of Section 12</w:t>
      </w:r>
      <w:r w:rsidRPr="002A4F91">
        <w:rPr>
          <w:u w:color="000000" w:themeColor="text1"/>
        </w:rPr>
        <w:noBreakHyphen/>
        <w:t>43</w:t>
      </w:r>
      <w:r w:rsidRPr="002A4F91">
        <w:rPr>
          <w:u w:color="000000" w:themeColor="text1"/>
        </w:rPr>
        <w:noBreakHyphen/>
        <w:t>220(d)(4), the property tax value, as defined in Section 12</w:t>
      </w:r>
      <w:r w:rsidRPr="002A4F91">
        <w:rPr>
          <w:u w:color="000000" w:themeColor="text1"/>
        </w:rPr>
        <w:noBreakHyphen/>
        <w:t>37</w:t>
      </w:r>
      <w:r w:rsidRPr="002A4F91">
        <w:rPr>
          <w:u w:color="000000" w:themeColor="text1"/>
        </w:rPr>
        <w:noBreakHyphen/>
        <w:t>3135, of that portion of a parcel of real property changed from agricultural use for purposes of residential or commercial development that is designated on the recorded development plat of the parcel as ‘green space for conservation’ or ‘open space’ if it equals ten percent or more of the area included within the outermost boundaries of the residential or commercial development must be valued according to its new ‘green space for conservation’ or ‘open space’ use for all purposes in calculating roll</w:t>
      </w:r>
      <w:r w:rsidRPr="002A4F91">
        <w:rPr>
          <w:u w:color="000000" w:themeColor="text1"/>
        </w:rPr>
        <w:noBreakHyphen/>
        <w:t xml:space="preserve">back tax due on the parcel.  As used in this section only, and without regard to any other definitions for those terms in state law </w:t>
      </w:r>
      <w:r w:rsidRPr="002A4F91">
        <w:rPr>
          <w:u w:color="000000" w:themeColor="text1"/>
        </w:rPr>
        <w:lastRenderedPageBreak/>
        <w:t>or regulations, ‘green space for conservation’ and ‘open space’ have the meaning provided for those terms by the United States Environmental Protection Agency.  The county assessor shall value the designated ‘green space for conservation’ or ‘open space’ in the manner that other property dedicated to that use is valued and that value must be used in the calculation of roll</w:t>
      </w:r>
      <w:r w:rsidRPr="002A4F91">
        <w:rPr>
          <w:u w:color="000000" w:themeColor="text1"/>
        </w:rPr>
        <w:noBreakHyphen/>
        <w:t>back tax on the parcel pursuant to Section 12</w:t>
      </w:r>
      <w:r w:rsidRPr="002A4F91">
        <w:rPr>
          <w:u w:color="000000" w:themeColor="text1"/>
        </w:rPr>
        <w:noBreakHyphen/>
        <w:t>43</w:t>
      </w:r>
      <w:r w:rsidRPr="002A4F91">
        <w:rPr>
          <w:u w:color="000000" w:themeColor="text1"/>
        </w:rPr>
        <w:noBreakHyphen/>
        <w:t>220(d)(4).  Appeals from the valuation of the ‘green space for conservation’ or ‘open space’ may be taken in the manner provided by law for appeals of value of real property appraised by county assessors.</w:t>
      </w:r>
    </w:p>
    <w:p w:rsidR="00DB3152" w:rsidRPr="002A4F91"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F91">
        <w:rPr>
          <w:u w:color="000000" w:themeColor="text1"/>
        </w:rPr>
        <w:tab/>
        <w:t>(B)</w:t>
      </w:r>
      <w:r w:rsidRPr="002A4F91">
        <w:rPr>
          <w:u w:color="000000" w:themeColor="text1"/>
        </w:rPr>
        <w:tab/>
        <w:t>If the platted ‘green space for conservation’ or ‘open space’ is converted to another use in five property tax years or less since the provisions of this section were applied to the property, then the owner of property at the time of its conversion is liable for the roll</w:t>
      </w:r>
      <w:r w:rsidRPr="002A4F91">
        <w:rPr>
          <w:u w:color="000000" w:themeColor="text1"/>
        </w:rPr>
        <w:noBreakHyphen/>
        <w:t>back taxes as if this section was not effective.  For purposes of this subsection, if the transfer of property causes the change in use, then the transferor is deemed to be the owner of the property at the time of the conversion, and the taxes must be paid at the time of the closing.”</w:t>
      </w:r>
      <w:r w:rsidRPr="002A4F91">
        <w:rPr>
          <w:u w:color="000000" w:themeColor="text1"/>
        </w:rPr>
        <w:tab/>
      </w:r>
      <w:r w:rsidRPr="002A4F91">
        <w:rPr>
          <w:u w:color="000000" w:themeColor="text1"/>
        </w:rPr>
        <w:tab/>
      </w:r>
      <w:r w:rsidRPr="002A4F91">
        <w:rPr>
          <w:u w:color="000000" w:themeColor="text1"/>
        </w:rPr>
        <w:tab/>
        <w:t>/</w:t>
      </w:r>
    </w:p>
    <w:p w:rsidR="00DB3152" w:rsidRPr="002A4F91"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A4F91">
        <w:rPr>
          <w:u w:color="000000" w:themeColor="text1"/>
        </w:rPr>
        <w:t>Amend the bill further, by striking SECTION 3 and inserting:</w:t>
      </w:r>
    </w:p>
    <w:p w:rsidR="00DB3152" w:rsidRPr="002A4F91"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A4F91">
        <w:rPr>
          <w:u w:color="000000" w:themeColor="text1"/>
        </w:rPr>
        <w:t>/</w:t>
      </w:r>
      <w:r w:rsidRPr="002A4F91">
        <w:rPr>
          <w:u w:color="000000" w:themeColor="text1"/>
        </w:rPr>
        <w:tab/>
        <w:t>SECTION</w:t>
      </w:r>
      <w:r w:rsidRPr="002A4F91">
        <w:rPr>
          <w:u w:color="000000" w:themeColor="text1"/>
        </w:rPr>
        <w:tab/>
        <w:t>3.</w:t>
      </w:r>
      <w:r w:rsidRPr="002A4F91">
        <w:rPr>
          <w:u w:color="000000" w:themeColor="text1"/>
        </w:rPr>
        <w:tab/>
        <w:t>The provisions of SECTIONS 1 and 2 of this act apply for eligible real property changed from agricultural use valuation after 2015.</w:t>
      </w:r>
      <w:r w:rsidRPr="002A4F91">
        <w:rPr>
          <w:u w:color="000000" w:themeColor="text1"/>
        </w:rPr>
        <w:tab/>
      </w:r>
      <w:r w:rsidRPr="002A4F91">
        <w:rPr>
          <w:u w:color="000000" w:themeColor="text1"/>
        </w:rPr>
        <w:tab/>
        <w:t>/</w:t>
      </w:r>
    </w:p>
    <w:p w:rsidR="00DB3152" w:rsidRPr="002A4F91"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4F91">
        <w:rPr>
          <w:snapToGrid w:val="0"/>
        </w:rPr>
        <w:tab/>
        <w:t>Renumber sections to conform.</w:t>
      </w:r>
    </w:p>
    <w:p w:rsidR="00DB3152"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4F91">
        <w:rPr>
          <w:snapToGrid w:val="0"/>
        </w:rPr>
        <w:tab/>
        <w:t>Amend title to conform.</w:t>
      </w:r>
    </w:p>
    <w:p w:rsidR="00DB3152" w:rsidRPr="002A4F91" w:rsidRDefault="00DB3152" w:rsidP="00DB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HUGH K. LEATHERMAN, SR. for Committee.</w:t>
      </w:r>
    </w:p>
    <w:p w:rsidR="00DB3152" w:rsidRPr="00DB3152" w:rsidRDefault="00DB3152" w:rsidP="00DB31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B3152"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E37602" w:rsidRDefault="00E37602"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1.</w:t>
      </w:r>
      <w:r w:rsidRPr="008C7C2D">
        <w:rPr>
          <w:color w:val="000000" w:themeColor="text1"/>
          <w:u w:color="000000" w:themeColor="text1"/>
        </w:rPr>
        <w:tab/>
        <w:t>Article 3, Chapter 43, Title 12 of the 1976 Code is amended by adding:</w:t>
      </w:r>
    </w:p>
    <w:p w:rsidR="00A3438E"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BA6CB8" w:rsidRPr="008C7C2D">
        <w:rPr>
          <w:color w:val="000000" w:themeColor="text1"/>
          <w:u w:color="000000" w:themeColor="text1"/>
        </w:rPr>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222.</w:t>
      </w:r>
      <w:r w:rsidR="00BA6CB8" w:rsidRPr="008C7C2D">
        <w:rPr>
          <w:color w:val="000000" w:themeColor="text1"/>
          <w:u w:color="000000" w:themeColor="text1"/>
        </w:rPr>
        <w:tab/>
        <w:t>Notwithstanding the provisions of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220(d)(4), the property tax value, as defined in Section 12</w:t>
      </w:r>
      <w:r w:rsidR="00C35E94">
        <w:rPr>
          <w:color w:val="000000" w:themeColor="text1"/>
          <w:u w:color="000000" w:themeColor="text1"/>
        </w:rPr>
        <w:noBreakHyphen/>
      </w:r>
      <w:r w:rsidR="00BA6CB8" w:rsidRPr="008C7C2D">
        <w:rPr>
          <w:color w:val="000000" w:themeColor="text1"/>
          <w:u w:color="000000" w:themeColor="text1"/>
        </w:rPr>
        <w:t>37</w:t>
      </w:r>
      <w:r w:rsidR="00C35E94">
        <w:rPr>
          <w:color w:val="000000" w:themeColor="text1"/>
          <w:u w:color="000000" w:themeColor="text1"/>
        </w:rPr>
        <w:noBreakHyphen/>
      </w:r>
      <w:r w:rsidR="00BA6CB8" w:rsidRPr="008C7C2D">
        <w:rPr>
          <w:color w:val="000000" w:themeColor="text1"/>
          <w:u w:color="000000" w:themeColor="text1"/>
        </w:rPr>
        <w:t xml:space="preserve">3135, of that portion of a parcel of real property changed from agricultural use for purposes of residential or commercial development that is designated on the recorded development plat of the parcel as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if it equals ten percent or more of the area included within the outermost boundaries of the residential or commercial development must be valued according to its new </w:t>
      </w:r>
      <w:r w:rsidR="00F661A7">
        <w:rPr>
          <w:color w:val="000000" w:themeColor="text1"/>
          <w:u w:color="000000" w:themeColor="text1"/>
        </w:rPr>
        <w:t>‘</w:t>
      </w:r>
      <w:r w:rsidR="00BA6CB8" w:rsidRPr="008C7C2D">
        <w:rPr>
          <w:color w:val="000000" w:themeColor="text1"/>
          <w:u w:color="000000" w:themeColor="text1"/>
        </w:rPr>
        <w:t>green space</w:t>
      </w:r>
      <w:r w:rsidR="00F661A7">
        <w:rPr>
          <w:color w:val="000000" w:themeColor="text1"/>
          <w:u w:color="000000" w:themeColor="text1"/>
        </w:rPr>
        <w:t>’</w:t>
      </w:r>
      <w:r w:rsidR="00BA6CB8" w:rsidRPr="008C7C2D">
        <w:rPr>
          <w:color w:val="000000" w:themeColor="text1"/>
          <w:u w:color="000000" w:themeColor="text1"/>
        </w:rPr>
        <w:t xml:space="preserve"> or </w:t>
      </w:r>
      <w:r w:rsidR="00F661A7">
        <w:rPr>
          <w:color w:val="000000" w:themeColor="text1"/>
          <w:u w:color="000000" w:themeColor="text1"/>
        </w:rPr>
        <w:t>‘</w:t>
      </w:r>
      <w:r w:rsidR="00BA6CB8" w:rsidRPr="008C7C2D">
        <w:rPr>
          <w:color w:val="000000" w:themeColor="text1"/>
          <w:u w:color="000000" w:themeColor="text1"/>
        </w:rPr>
        <w:t>open space</w:t>
      </w:r>
      <w:r w:rsidR="00F661A7">
        <w:rPr>
          <w:color w:val="000000" w:themeColor="text1"/>
          <w:u w:color="000000" w:themeColor="text1"/>
        </w:rPr>
        <w:t>’</w:t>
      </w:r>
      <w:r w:rsidR="00BA6CB8" w:rsidRPr="008C7C2D">
        <w:rPr>
          <w:color w:val="000000" w:themeColor="text1"/>
          <w:u w:color="000000" w:themeColor="text1"/>
        </w:rPr>
        <w:t xml:space="preserve"> use for all purposes in calculating roll</w:t>
      </w:r>
      <w:r w:rsidR="00C35E94">
        <w:rPr>
          <w:color w:val="000000" w:themeColor="text1"/>
          <w:u w:color="000000" w:themeColor="text1"/>
        </w:rPr>
        <w:noBreakHyphen/>
      </w:r>
      <w:r w:rsidR="00BA6CB8" w:rsidRPr="008C7C2D">
        <w:rPr>
          <w:color w:val="000000" w:themeColor="text1"/>
          <w:u w:color="000000" w:themeColor="text1"/>
        </w:rPr>
        <w:t xml:space="preserve">back tax due on the parcel.  As used in this section only, and without regard to any other definitions for those terms in state law or regulations,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and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have the meaning provided for those terms by the United States Environmental Protection Agency.  The county assessor shall value the designated </w:t>
      </w:r>
      <w:r w:rsidR="00F661A7">
        <w:rPr>
          <w:color w:val="000000" w:themeColor="text1"/>
          <w:u w:color="000000" w:themeColor="text1"/>
        </w:rPr>
        <w:t>‘</w:t>
      </w:r>
      <w:r w:rsidR="00BA6CB8" w:rsidRPr="008C7C2D">
        <w:rPr>
          <w:color w:val="000000" w:themeColor="text1"/>
          <w:u w:color="000000" w:themeColor="text1"/>
        </w:rPr>
        <w:t>green space</w:t>
      </w:r>
      <w:r w:rsidR="00F661A7">
        <w:rPr>
          <w:color w:val="000000" w:themeColor="text1"/>
          <w:u w:color="000000" w:themeColor="text1"/>
        </w:rPr>
        <w:t>’</w:t>
      </w:r>
      <w:r w:rsidR="00BA6CB8" w:rsidRPr="008C7C2D">
        <w:rPr>
          <w:color w:val="000000" w:themeColor="text1"/>
          <w:u w:color="000000" w:themeColor="text1"/>
        </w:rPr>
        <w:t xml:space="preserve"> or </w:t>
      </w:r>
      <w:r w:rsidR="00F661A7">
        <w:rPr>
          <w:color w:val="000000" w:themeColor="text1"/>
          <w:u w:color="000000" w:themeColor="text1"/>
        </w:rPr>
        <w:t>‘</w:t>
      </w:r>
      <w:r w:rsidR="00BA6CB8" w:rsidRPr="008C7C2D">
        <w:rPr>
          <w:color w:val="000000" w:themeColor="text1"/>
          <w:u w:color="000000" w:themeColor="text1"/>
        </w:rPr>
        <w:t>open space</w:t>
      </w:r>
      <w:r w:rsidR="00F661A7">
        <w:rPr>
          <w:color w:val="000000" w:themeColor="text1"/>
          <w:u w:color="000000" w:themeColor="text1"/>
        </w:rPr>
        <w:t>’</w:t>
      </w:r>
      <w:r w:rsidR="00BA6CB8" w:rsidRPr="008C7C2D">
        <w:rPr>
          <w:color w:val="000000" w:themeColor="text1"/>
          <w:u w:color="000000" w:themeColor="text1"/>
        </w:rPr>
        <w:t xml:space="preserve"> in the manner that other property dedicated to that use is valued and that value must be used in the calculation of roll</w:t>
      </w:r>
      <w:r w:rsidR="00C35E94">
        <w:rPr>
          <w:color w:val="000000" w:themeColor="text1"/>
          <w:u w:color="000000" w:themeColor="text1"/>
        </w:rPr>
        <w:noBreakHyphen/>
      </w:r>
      <w:r w:rsidR="00BA6CB8" w:rsidRPr="008C7C2D">
        <w:rPr>
          <w:color w:val="000000" w:themeColor="text1"/>
          <w:u w:color="000000" w:themeColor="text1"/>
        </w:rPr>
        <w:t>back tax on the parcel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 xml:space="preserve">220(d)(4).  Appeals from the valuation of the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may be taken in the manner provided by law for appeals of value of real property appraised by county assessors.”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 xml:space="preserve">back taxes chargeable on real property which has undergone a </w:t>
      </w:r>
      <w:r w:rsidRPr="008C7C2D">
        <w:rPr>
          <w:color w:val="000000" w:themeColor="text1"/>
          <w:u w:color="000000" w:themeColor="text1"/>
        </w:rPr>
        <w:lastRenderedPageBreak/>
        <w:t>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3.</w:t>
      </w:r>
      <w:r w:rsidRPr="008C7C2D">
        <w:rPr>
          <w:color w:val="000000" w:themeColor="text1"/>
          <w:u w:color="000000" w:themeColor="text1"/>
        </w:rPr>
        <w:tab/>
        <w:t>The provisions of SECTIONS 1 and 2 of this act apply for eligible real property changed from agric</w:t>
      </w:r>
      <w:r>
        <w:rPr>
          <w:color w:val="000000" w:themeColor="text1"/>
          <w:u w:color="000000" w:themeColor="text1"/>
        </w:rPr>
        <w:t>ultural use valuation after 2014</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half of one percent a month, but in no case less than thirty dollars nor more than 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E37602"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00E37602">
        <w:rPr>
          <w:color w:val="000000" w:themeColor="text1"/>
          <w:u w:val="single" w:color="000000" w:themeColor="text1"/>
        </w:rPr>
        <w:t xml:space="preserve"> </w:t>
      </w:r>
      <w:r w:rsidR="00E37602" w:rsidRPr="002A3B9E">
        <w:rPr>
          <w:u w:val="single"/>
        </w:rPr>
        <w:t xml:space="preserve">The provisions of this subitem making the additional taxes and penalties assessed pursuant to subitem (A) the sole personal liability of the transferor also apply to transfers required as a result of a property settlement </w:t>
      </w:r>
      <w:r w:rsidR="00E37602" w:rsidRPr="002A3B9E">
        <w:rPr>
          <w:u w:val="single"/>
        </w:rPr>
        <w:lastRenderedPageBreak/>
        <w:t>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5.</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amended by this act, applies prospectively and also retroactively to all property tax years open for the assessment of delinquent property taxes and penalties, including penalties assessed pursuant to 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6.</w:t>
      </w:r>
      <w:r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90D" w:rsidRDefault="00F9290D" w:rsidP="00F9290D">
      <w:pPr>
        <w:suppressAutoHyphens/>
      </w:pPr>
    </w:p>
    <w:sectPr w:rsidR="00F9290D"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39E275-C939-4986-B0ED-5F20D66C2BC2}"/>
    <w:embedBold r:id="rId2" w:fontKey="{62C3B03C-F67C-4722-9C08-607260DD991A}"/>
  </w:font>
  <w:font w:name="Calibri">
    <w:panose1 w:val="020F0502020204030204"/>
    <w:charset w:val="00"/>
    <w:family w:val="swiss"/>
    <w:pitch w:val="variable"/>
    <w:sig w:usb0="E00002FF" w:usb1="4000ACFF" w:usb2="00000001" w:usb3="00000000" w:csb0="0000019F" w:csb1="00000000"/>
    <w:embedRegular r:id="rId3" w:fontKey="{1F60D9D2-C745-4251-A76D-278548E2EA0B}"/>
  </w:font>
  <w:font w:name="Segoe UI">
    <w:panose1 w:val="020B0502040204020203"/>
    <w:charset w:val="00"/>
    <w:family w:val="swiss"/>
    <w:pitch w:val="variable"/>
    <w:sig w:usb0="E10022FF" w:usb1="C000E47F" w:usb2="00000029" w:usb3="00000000" w:csb0="000001DF" w:csb1="00000000"/>
    <w:embedRegular r:id="rId4" w:fontKey="{5B844A5A-D4F2-4D01-82D0-D253D8090C97}"/>
  </w:font>
  <w:font w:name="Cambria">
    <w:panose1 w:val="02040503050406030204"/>
    <w:charset w:val="00"/>
    <w:family w:val="roman"/>
    <w:pitch w:val="variable"/>
    <w:sig w:usb0="E00002FF" w:usb1="400004FF" w:usb2="00000000" w:usb3="00000000" w:csb0="0000019F" w:csb1="00000000"/>
    <w:embedRegular r:id="rId5" w:fontKey="{806B5F4A-C94B-4FCE-A24D-D4300FD98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F9290D">
      <w:rPr>
        <w:noProof/>
      </w:rPr>
      <w:t>2</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F929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E7D54"/>
    <w:rsid w:val="00526391"/>
    <w:rsid w:val="005273C6"/>
    <w:rsid w:val="00530A69"/>
    <w:rsid w:val="00545593"/>
    <w:rsid w:val="00577C6C"/>
    <w:rsid w:val="005C2FE2"/>
    <w:rsid w:val="005E2BC9"/>
    <w:rsid w:val="00605102"/>
    <w:rsid w:val="006215AA"/>
    <w:rsid w:val="006913C9"/>
    <w:rsid w:val="0069470D"/>
    <w:rsid w:val="00707762"/>
    <w:rsid w:val="00734F00"/>
    <w:rsid w:val="007A70AE"/>
    <w:rsid w:val="008362E8"/>
    <w:rsid w:val="008377EC"/>
    <w:rsid w:val="008A1768"/>
    <w:rsid w:val="008F0F33"/>
    <w:rsid w:val="008F4429"/>
    <w:rsid w:val="0094021A"/>
    <w:rsid w:val="009970BB"/>
    <w:rsid w:val="009B44AF"/>
    <w:rsid w:val="009C6A0B"/>
    <w:rsid w:val="009F0C77"/>
    <w:rsid w:val="009F4DD1"/>
    <w:rsid w:val="00A069C5"/>
    <w:rsid w:val="00A309CE"/>
    <w:rsid w:val="00A3438E"/>
    <w:rsid w:val="00A41684"/>
    <w:rsid w:val="00A64E80"/>
    <w:rsid w:val="00A72BCD"/>
    <w:rsid w:val="00A741D9"/>
    <w:rsid w:val="00A833AB"/>
    <w:rsid w:val="00A9741D"/>
    <w:rsid w:val="00AB48DD"/>
    <w:rsid w:val="00AD0CCD"/>
    <w:rsid w:val="00AD4B17"/>
    <w:rsid w:val="00B412D4"/>
    <w:rsid w:val="00BA4D9B"/>
    <w:rsid w:val="00BA6CB8"/>
    <w:rsid w:val="00BE3C22"/>
    <w:rsid w:val="00BF0D09"/>
    <w:rsid w:val="00C0345E"/>
    <w:rsid w:val="00C3483A"/>
    <w:rsid w:val="00C35E94"/>
    <w:rsid w:val="00C74E9D"/>
    <w:rsid w:val="00C82FD3"/>
    <w:rsid w:val="00C92819"/>
    <w:rsid w:val="00CC6B7B"/>
    <w:rsid w:val="00CD2089"/>
    <w:rsid w:val="00D127B8"/>
    <w:rsid w:val="00D73A67"/>
    <w:rsid w:val="00D970A9"/>
    <w:rsid w:val="00DB3152"/>
    <w:rsid w:val="00DF3845"/>
    <w:rsid w:val="00E26309"/>
    <w:rsid w:val="00E37602"/>
    <w:rsid w:val="00E41911"/>
    <w:rsid w:val="00E92EEF"/>
    <w:rsid w:val="00F24442"/>
    <w:rsid w:val="00F50AE3"/>
    <w:rsid w:val="00F661A7"/>
    <w:rsid w:val="00F67CF1"/>
    <w:rsid w:val="00F840F0"/>
    <w:rsid w:val="00F9290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 w:type="paragraph" w:styleId="NoSpacing">
    <w:name w:val="No Spacing"/>
    <w:uiPriority w:val="1"/>
    <w:qFormat/>
    <w:rsid w:val="00E376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50171-940B-4BE4-8EEE-8FE2E231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6</Pages>
  <Words>1674</Words>
  <Characters>8450</Characters>
  <Application>Microsoft Office Word</Application>
  <DocSecurity>0</DocSecurity>
  <Lines>214</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(Mar. 23, 2016) - South Carolina Legislature Online</dc:title>
  <dc:creator>%USERNAME%</dc:creator>
  <cp:lastModifiedBy>Miriam Cook</cp:lastModifiedBy>
  <cp:revision>2</cp:revision>
  <cp:lastPrinted>2015-04-28T23:04:00Z</cp:lastPrinted>
  <dcterms:created xsi:type="dcterms:W3CDTF">2016-03-23T23:35:00Z</dcterms:created>
  <dcterms:modified xsi:type="dcterms:W3CDTF">2016-03-23T23:35:00Z</dcterms:modified>
</cp:coreProperties>
</file>