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97"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A52F6" w:rsidRP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AMENDED</w:t>
      </w:r>
    </w:p>
    <w:p w:rsidR="00BA52F6"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March 9, 2016</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right" w:pos="5933"/>
        </w:tabs>
        <w:rPr>
          <w:rFonts w:eastAsiaTheme="minorHAnsi"/>
          <w:szCs w:val="22"/>
        </w:rPr>
      </w:pPr>
      <w:r>
        <w:rPr>
          <w:rFonts w:eastAsiaTheme="minorHAnsi"/>
          <w:szCs w:val="22"/>
        </w:rPr>
        <w:tab/>
      </w:r>
      <w:r>
        <w:rPr>
          <w:rFonts w:eastAsiaTheme="minorHAnsi"/>
          <w:b/>
          <w:sz w:val="36"/>
          <w:szCs w:val="22"/>
        </w:rPr>
        <w:t>H. 3579</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Introduced by </w:t>
      </w:r>
      <w:r w:rsidRPr="000B2658">
        <w:t>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Anderson and Duckworth</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D93439" w:rsidP="007C109F">
      <w:pPr>
        <w:tabs>
          <w:tab w:val="right" w:pos="5933"/>
        </w:tabs>
        <w:rPr>
          <w:rFonts w:eastAsiaTheme="minorHAnsi"/>
          <w:szCs w:val="22"/>
        </w:rPr>
      </w:pPr>
      <w:r>
        <w:rPr>
          <w:rFonts w:eastAsiaTheme="minorHAnsi"/>
          <w:szCs w:val="22"/>
        </w:rPr>
        <w:t>S. Printed 3/9/16</w:t>
      </w:r>
      <w:r w:rsidR="00BA52F6">
        <w:rPr>
          <w:rFonts w:eastAsiaTheme="minorHAnsi"/>
          <w:szCs w:val="22"/>
        </w:rPr>
        <w:t>--S.</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Read the first time April 16, 2015.</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084A97" w:rsidRPr="00084A97" w:rsidSect="003475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223E80">
        <w:rPr>
          <w:u w:color="000000" w:themeColor="text1"/>
        </w:rPr>
        <w:t>TO AMEND THE CODE OF LAWS OF SOUTH CAROLINA, 1976, SO AS TO ENACT THE “SOUTH CAROLINA INFRASTRUCTURE FINANCE REFORM AND TAX RELIEF ACT”; TO AMEND SECTIONS 57</w:t>
      </w:r>
      <w:r w:rsidRPr="00223E80">
        <w:rPr>
          <w:u w:color="000000" w:themeColor="text1"/>
        </w:rPr>
        <w:noBreakHyphen/>
        <w:t>1</w:t>
      </w:r>
      <w:r w:rsidRPr="00223E80">
        <w:rPr>
          <w:u w:color="000000" w:themeColor="text1"/>
        </w:rPr>
        <w:noBreakHyphen/>
        <w:t>310, 57</w:t>
      </w:r>
      <w:r w:rsidRPr="00223E80">
        <w:rPr>
          <w:u w:color="000000" w:themeColor="text1"/>
        </w:rPr>
        <w:noBreakHyphen/>
        <w:t>1</w:t>
      </w:r>
      <w:r w:rsidRPr="00223E80">
        <w:rPr>
          <w:u w:color="000000" w:themeColor="text1"/>
        </w:rPr>
        <w:noBreakHyphen/>
        <w:t>320, 57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Pr="00223E80">
        <w:rPr>
          <w:u w:color="000000" w:themeColor="text1"/>
        </w:rPr>
        <w:noBreakHyphen/>
        <w:t>1</w:t>
      </w:r>
      <w:r w:rsidRPr="00223E80">
        <w:rPr>
          <w:u w:color="000000" w:themeColor="text1"/>
        </w:rPr>
        <w:noBreakHyphen/>
        <w:t>410, AS AMENDED, RELATING TO THE SECRETARY OF THE DEPARTMENT OF TRANSPORTATION, SO AS TO PROVIDE THAT THE COMMISSION OF THE DEPARTMENT OF TRANSPORTATION, INSTEAD OF THE GOVERNOR, SHALL APPOINT THE SECRETARY; TO AMEND SECTIONS 57</w:t>
      </w:r>
      <w:r w:rsidRPr="00223E80">
        <w:rPr>
          <w:u w:color="000000" w:themeColor="text1"/>
        </w:rPr>
        <w:noBreakHyphen/>
        <w:t>1</w:t>
      </w:r>
      <w:r w:rsidRPr="00223E80">
        <w:rPr>
          <w:u w:color="000000" w:themeColor="text1"/>
        </w:rPr>
        <w:noBreakHyphen/>
        <w:t>730 AND 57</w:t>
      </w:r>
      <w:r w:rsidRPr="00223E80">
        <w:rPr>
          <w:u w:color="000000" w:themeColor="text1"/>
        </w:rPr>
        <w:noBreakHyphen/>
        <w:t>1</w:t>
      </w:r>
      <w:r w:rsidRPr="00223E80">
        <w:rPr>
          <w:u w:color="000000" w:themeColor="text1"/>
        </w:rPr>
        <w:noBreakHyphen/>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Pr="00223E80">
        <w:rPr>
          <w:u w:color="000000" w:themeColor="text1"/>
        </w:rPr>
        <w:noBreakHyphen/>
        <w:t>1</w:t>
      </w:r>
      <w:r w:rsidRPr="00223E80">
        <w:rPr>
          <w:u w:color="000000" w:themeColor="text1"/>
        </w:rPr>
        <w:noBreakHyphen/>
        <w:t xml:space="preserve">95 SO AS TO PROHIBIT THE COMMENCEMENT OF ANY NEW ROAD CONSTRUCTION PROJECTS IN THIS STATE UNTIL JULY 1, 2020, AND TO </w:t>
      </w:r>
      <w:r w:rsidRPr="00223E80">
        <w:rPr>
          <w:u w:color="000000" w:themeColor="text1"/>
        </w:rPr>
        <w:lastRenderedPageBreak/>
        <w:t>PROVIDE EXCEPTIONS; TO AMEND SECTION 11</w:t>
      </w:r>
      <w:r w:rsidRPr="00223E80">
        <w:rPr>
          <w:u w:color="000000" w:themeColor="text1"/>
        </w:rPr>
        <w:noBreakHyphen/>
        <w:t>43</w:t>
      </w:r>
      <w:r w:rsidRPr="00223E80">
        <w:rPr>
          <w:u w:color="000000" w:themeColor="text1"/>
        </w:rPr>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223E80">
        <w:rPr>
          <w:u w:color="000000" w:themeColor="text1"/>
        </w:rPr>
        <w:noBreakHyphen/>
        <w:t>43</w:t>
      </w:r>
      <w:r w:rsidRPr="00223E80">
        <w:rPr>
          <w:u w:color="000000" w:themeColor="text1"/>
        </w:rPr>
        <w:noBreakHyphen/>
        <w:t>180, RELATING TO FINANCIAL ASSISTANCE GIVEN BY THE INFRASTRUCTURE BANK, SO AS TO PROHIBIT THE BANK FROM PROVIDING ANY LOANS OR OTHER FINANCIAL ASSISTANCE TO ANY PROJECT UNLESS THE ELIGIBLE COSTS OF THE PROJECT ARE AT LEAST TWENTY</w:t>
      </w:r>
      <w:r w:rsidRPr="00223E80">
        <w:rPr>
          <w:u w:color="000000" w:themeColor="text1"/>
        </w:rPr>
        <w:noBreakHyphen/>
        <w:t>FIVE MILLION DOLLARS; BY ADDING SECTION 11</w:t>
      </w:r>
      <w:r w:rsidRPr="00223E80">
        <w:rPr>
          <w:u w:color="000000" w:themeColor="text1"/>
        </w:rPr>
        <w:noBreakHyphen/>
        <w:t>43</w:t>
      </w:r>
      <w:r w:rsidRPr="00223E80">
        <w:rPr>
          <w:u w:color="000000" w:themeColor="text1"/>
        </w:rPr>
        <w:noBreakHyphen/>
        <w:t>265 SO AS TO REQUIRE THE INFRASTRUCTURE BANK TO PRIORITIZE ALL PROJECTS IN ACCORDANCE WITH THE PRIORITIZATION CRITERIA ESTABLISHED IN ACT 114 OF 2007, AND TO PROVIDE AN EXCEPTION; BY ADDING SECTION 57</w:t>
      </w:r>
      <w:r w:rsidRPr="00223E80">
        <w:rPr>
          <w:u w:color="000000" w:themeColor="text1"/>
        </w:rPr>
        <w:noBreakHyphen/>
        <w:t>1</w:t>
      </w:r>
      <w:r w:rsidRPr="00223E80">
        <w:rPr>
          <w:u w:color="000000" w:themeColor="text1"/>
        </w:rPr>
        <w:noBreakHyphen/>
        <w:t>100 SO AS TO SET 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TO AMEND SECTION 12</w:t>
      </w:r>
      <w:r w:rsidRPr="00223E80">
        <w:rPr>
          <w:u w:color="000000" w:themeColor="text1"/>
        </w:rPr>
        <w:noBreakHyphen/>
        <w:t>28</w:t>
      </w:r>
      <w:r w:rsidRPr="00223E80">
        <w:rPr>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BOTH RELATING TO ROAD RESTRICTIONS, SO AS TO SPECIFY CERTAIN RESTRICTIONS ON LOCALITIES; TO AMEND SECTION 12</w:t>
      </w:r>
      <w:r w:rsidRPr="00223E80">
        <w:rPr>
          <w:u w:color="000000" w:themeColor="text1"/>
        </w:rPr>
        <w:noBreakHyphen/>
        <w:t>28</w:t>
      </w:r>
      <w:r w:rsidRPr="00223E80">
        <w:rPr>
          <w:u w:color="000000" w:themeColor="text1"/>
        </w:rPr>
        <w:noBreakHyphen/>
        <w:t>310, RELATING TO THE USER FEE ON GASOLINE, SO AS TO REDUCE THE FEE TO TEN CENTS A GALLON; TO AMEND SECTION 56</w:t>
      </w:r>
      <w:r w:rsidRPr="00223E80">
        <w:rPr>
          <w:u w:color="000000" w:themeColor="text1"/>
        </w:rPr>
        <w:noBreakHyphen/>
        <w:t>11</w:t>
      </w:r>
      <w:r w:rsidRPr="00223E80">
        <w:rPr>
          <w:u w:color="000000" w:themeColor="text1"/>
        </w:rPr>
        <w:noBreakHyphen/>
        <w:t>410, RELATING TO THE ROAD TAX, SO AS TO REDUCE THE TAX TO TEN CENTS A GALLON; TO AMEND SECTION 56</w:t>
      </w:r>
      <w:r w:rsidRPr="00223E80">
        <w:rPr>
          <w:u w:color="000000" w:themeColor="text1"/>
        </w:rPr>
        <w:noBreakHyphen/>
        <w:t>11</w:t>
      </w:r>
      <w:r w:rsidRPr="00223E80">
        <w:rPr>
          <w:u w:color="000000" w:themeColor="text1"/>
        </w:rPr>
        <w:noBreakHyphen/>
        <w:t>450, RELATING TO THE CREDIT AGAINST ROAD TAX, SO AS TO REDUCE THE CREDIT TO TEN CENTS A GALLON; TO AMEND SECTION 12</w:t>
      </w:r>
      <w:r w:rsidRPr="00223E80">
        <w:rPr>
          <w:u w:color="000000" w:themeColor="text1"/>
        </w:rPr>
        <w:noBreakHyphen/>
        <w:t>36</w:t>
      </w:r>
      <w:r w:rsidRPr="00223E80">
        <w:rPr>
          <w:u w:color="000000" w:themeColor="text1"/>
        </w:rPr>
        <w:noBreakHyphen/>
        <w:t xml:space="preserve">2110, RELATING TO </w:t>
      </w:r>
      <w:r w:rsidRPr="00223E80">
        <w:rPr>
          <w:u w:color="000000" w:themeColor="text1"/>
        </w:rPr>
        <w:lastRenderedPageBreak/>
        <w:t>THE MAXIMUM TAX, SO AS TO INCREASE THE MAXIMUM TAX FROM THREE HUNDRED TO FIVE HUNDRED DOLLARS ON THE SALE OR LEASE OF A MOTOR VEHICLE; TO AMEND SECTION 12</w:t>
      </w:r>
      <w:r w:rsidRPr="00223E80">
        <w:rPr>
          <w:u w:color="000000" w:themeColor="text1"/>
        </w:rPr>
        <w:noBreakHyphen/>
        <w:t>36</w:t>
      </w:r>
      <w:r w:rsidRPr="00223E80">
        <w:rPr>
          <w:u w:color="000000" w:themeColor="text1"/>
        </w:rPr>
        <w:noBreakHyphen/>
        <w:t>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REVENUE MUST BE CREDITED TO THE STATE HIGHWAY FUND, TO PROVIDE THAT THE EXCISE TAX MAY NOT EXCEED THE EQUIVALENT OF SIXTEEN CENTS A GALLON, AND TO PROVIDE THE MANNER IN WHICH THE EXCISE TAX IS CALCULATED AND ADMINISTERED; BY ADDING ARTICLE 9 TO CHAPTER 11, TITLE 57 SO AS TO IMPOSE AN EXCISE TAX ON MOTOR CARRIERS IN THE SAME MANNER AS THE EXCISE TAX ON MOTOR FUEL; AND TO AMEND SECTION 12</w:t>
      </w:r>
      <w:r w:rsidRPr="00223E80">
        <w:rPr>
          <w:u w:color="000000" w:themeColor="text1"/>
        </w:rPr>
        <w:noBreakHyphen/>
        <w:t>6</w:t>
      </w:r>
      <w:r w:rsidRPr="00223E80">
        <w:rPr>
          <w:u w:color="000000" w:themeColor="text1"/>
        </w:rPr>
        <w:noBreakHyphen/>
        <w:t>510, RELATING TO TAX RATES FOR INDIVIDUALS, ESTATES, AND TRUSTS, SO AS TO INCREASE THE SIZE OF THE TAX BRACKETS FOR EACH TAX RATE; AND TO AMEND SECTION 12</w:t>
      </w:r>
      <w:r w:rsidRPr="00223E80">
        <w:rPr>
          <w:u w:color="000000" w:themeColor="text1"/>
        </w:rPr>
        <w:noBreakHyphen/>
        <w:t>6</w:t>
      </w:r>
      <w:r w:rsidRPr="00223E80">
        <w:rPr>
          <w:u w:color="000000" w:themeColor="text1"/>
        </w:rPr>
        <w:noBreakHyphen/>
        <w:t>520, RELATING TO THE ANNUAL ADJUSTMENT OF INCOME TAX BRACKETS, SO AS PROVIDE THE BRACKETS SHALL NOT BE ADJUSTED IN TAX YEARS 2016 AND 2017.</w:t>
      </w:r>
      <w:bookmarkEnd w:id="1"/>
    </w:p>
    <w:p w:rsidR="00F60439"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Amend Title To Conform</w:t>
      </w:r>
    </w:p>
    <w:p w:rsidR="00D93439"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01EA">
        <w:rPr>
          <w:snapToGrid w:val="0"/>
        </w:rPr>
        <w:t>SECTION</w:t>
      </w:r>
      <w:r w:rsidRPr="009501EA">
        <w:rPr>
          <w:snapToGrid w:val="0"/>
        </w:rPr>
        <w:tab/>
        <w:t>1.</w:t>
      </w:r>
      <w:r w:rsidRPr="009501EA">
        <w:rPr>
          <w:snapToGrid w:val="0"/>
        </w:rPr>
        <w:tab/>
        <w:t>A.</w:t>
      </w:r>
      <w:r w:rsidRPr="009501EA">
        <w:rPr>
          <w:snapToGrid w:val="0"/>
        </w:rPr>
        <w:tab/>
        <w:t>Article 3, Chapter 1, Title 57 of the 1976 Code is amended to read:</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501EA">
        <w:rPr>
          <w:u w:color="000000" w:themeColor="text1"/>
        </w:rPr>
        <w:t>“Section 57</w:t>
      </w:r>
      <w:r w:rsidRPr="009501EA">
        <w:rPr>
          <w:u w:color="000000" w:themeColor="text1"/>
        </w:rPr>
        <w:noBreakHyphen/>
        <w:t>1</w:t>
      </w:r>
      <w:r w:rsidRPr="009501EA">
        <w:rPr>
          <w:u w:color="000000" w:themeColor="text1"/>
        </w:rPr>
        <w:noBreakHyphen/>
        <w:t>310.</w:t>
      </w:r>
      <w:r w:rsidRPr="009501EA">
        <w:rPr>
          <w:u w:color="000000" w:themeColor="text1"/>
        </w:rPr>
        <w:tab/>
        <w:t>(A)</w:t>
      </w:r>
      <w:r w:rsidRPr="009501EA">
        <w:rPr>
          <w:u w:color="000000" w:themeColor="text1"/>
        </w:rPr>
        <w:tab/>
        <w:t xml:space="preserve">The congressional districts of this State are constituted and created Department of Transportation Districts </w:t>
      </w:r>
      <w:r w:rsidRPr="009501EA">
        <w:rPr>
          <w:strike/>
          <w:u w:color="000000" w:themeColor="text1"/>
        </w:rPr>
        <w:t>of the State</w:t>
      </w:r>
      <w:r w:rsidRPr="009501EA">
        <w:rPr>
          <w:u w:color="000000" w:themeColor="text1"/>
        </w:rPr>
        <w:t xml:space="preserve">, designated by numbers corresponding to the numbers of the respective congressional districts. </w:t>
      </w:r>
      <w:r w:rsidRPr="009501EA">
        <w:rPr>
          <w:strike/>
          <w:u w:color="000000" w:themeColor="text1"/>
        </w:rPr>
        <w:t>The</w:t>
      </w:r>
      <w:r w:rsidRPr="009501EA">
        <w:rPr>
          <w:u w:color="000000" w:themeColor="text1"/>
        </w:rPr>
        <w:t xml:space="preserve"> </w:t>
      </w:r>
      <w:r w:rsidRPr="009501EA">
        <w:rPr>
          <w:u w:val="single"/>
        </w:rPr>
        <w:t>There is established the</w:t>
      </w:r>
      <w:r w:rsidRPr="009501EA">
        <w:rPr>
          <w:u w:color="000000" w:themeColor="text1"/>
        </w:rPr>
        <w:t xml:space="preserve"> Commission of the Department of Transportation </w:t>
      </w:r>
      <w:r w:rsidRPr="009501EA">
        <w:rPr>
          <w:u w:val="single"/>
        </w:rPr>
        <w:t>which</w:t>
      </w:r>
      <w:r w:rsidRPr="009501EA">
        <w:t xml:space="preserve"> </w:t>
      </w:r>
      <w:r w:rsidRPr="009501EA">
        <w:rPr>
          <w:u w:color="000000" w:themeColor="text1"/>
        </w:rPr>
        <w:t xml:space="preserve">shall be composed of one member </w:t>
      </w:r>
      <w:r w:rsidRPr="009501EA">
        <w:rPr>
          <w:u w:val="single"/>
        </w:rPr>
        <w:t>appointed by the Governor</w:t>
      </w:r>
      <w:r w:rsidRPr="009501EA">
        <w:rPr>
          <w:u w:color="000000" w:themeColor="text1"/>
        </w:rPr>
        <w:t xml:space="preserve"> from each transportation district </w:t>
      </w:r>
      <w:r w:rsidRPr="009501EA">
        <w:rPr>
          <w:strike/>
          <w:u w:color="000000" w:themeColor="text1"/>
        </w:rPr>
        <w:t>elected by the delegations of the congressional district</w:t>
      </w:r>
      <w:r w:rsidRPr="009501EA">
        <w:rPr>
          <w:u w:color="000000" w:themeColor="text1"/>
        </w:rPr>
        <w:t xml:space="preserve"> and one member appointed by the Governor </w:t>
      </w:r>
      <w:r w:rsidRPr="009501EA">
        <w:rPr>
          <w:u w:val="single"/>
        </w:rPr>
        <w:t>from the State at large.  The Governor’s at large appointment shall serve as chair of the Commission.  The Governor’s appointments are subject to the advice and consent of the Senate.</w:t>
      </w:r>
      <w:r w:rsidRPr="009501EA">
        <w:t xml:space="preserve"> </w:t>
      </w:r>
      <w:r w:rsidRPr="009501EA">
        <w:rPr>
          <w:strike/>
          <w:u w:color="000000" w:themeColor="text1"/>
        </w:rPr>
        <w:t xml:space="preserve">from the State at </w:t>
      </w:r>
      <w:r w:rsidRPr="009501EA">
        <w:rPr>
          <w:strike/>
          <w:u w:color="000000" w:themeColor="text1"/>
        </w:rPr>
        <w:lastRenderedPageBreak/>
        <w:t>large. Such elections or appointment, as the case may be,</w:t>
      </w:r>
      <w:r w:rsidRPr="009501EA">
        <w:rPr>
          <w:u w:color="000000" w:themeColor="text1"/>
        </w:rPr>
        <w:t xml:space="preserve"> </w:t>
      </w:r>
      <w:r w:rsidRPr="009501EA">
        <w:rPr>
          <w:u w:val="single"/>
        </w:rPr>
        <w:t xml:space="preserve">In making appointments to the commission, the Governor </w:t>
      </w:r>
      <w:r w:rsidRPr="009501EA">
        <w:rPr>
          <w:u w:color="000000" w:themeColor="text1"/>
        </w:rPr>
        <w:t>shall take into account race</w:t>
      </w:r>
      <w:r w:rsidRPr="009501EA">
        <w:rPr>
          <w:u w:val="single"/>
        </w:rPr>
        <w:t>,</w:t>
      </w:r>
      <w:r w:rsidRPr="009501EA">
        <w:rPr>
          <w:u w:color="000000" w:themeColor="text1"/>
        </w:rPr>
        <w:t xml:space="preserve"> </w:t>
      </w:r>
      <w:r w:rsidRPr="009501EA">
        <w:rPr>
          <w:strike/>
          <w:u w:color="000000" w:themeColor="text1"/>
        </w:rPr>
        <w:t>and</w:t>
      </w:r>
      <w:r w:rsidRPr="009501EA">
        <w:rPr>
          <w:u w:color="000000" w:themeColor="text1"/>
        </w:rPr>
        <w:t xml:space="preserve"> gender</w:t>
      </w:r>
      <w:r w:rsidRPr="009501EA">
        <w:rPr>
          <w:u w:val="single"/>
        </w:rPr>
        <w:t>, and other demographic factors, such as residence in rural or urban areas,</w:t>
      </w:r>
      <w:r w:rsidRPr="009501EA">
        <w:rPr>
          <w:u w:color="000000" w:themeColor="text1"/>
        </w:rPr>
        <w:t xml:space="preserve"> so as to represent, to the greatest extent possible, all segments of the population of the State; however, consideration of these factors in making an appointment </w:t>
      </w:r>
      <w:r w:rsidRPr="009501EA">
        <w:rPr>
          <w:strike/>
          <w:u w:color="000000" w:themeColor="text1"/>
        </w:rPr>
        <w:t>or in an election</w:t>
      </w:r>
      <w:r w:rsidRPr="009501EA">
        <w:rPr>
          <w:u w:color="000000" w:themeColor="text1"/>
        </w:rPr>
        <w:t xml:space="preserve"> in no way creates a cause of action or basis for an employee grievance for a person appointed </w:t>
      </w:r>
      <w:r w:rsidRPr="009501EA">
        <w:rPr>
          <w:strike/>
          <w:u w:color="000000" w:themeColor="text1"/>
        </w:rPr>
        <w:t>or elected</w:t>
      </w:r>
      <w:r w:rsidRPr="009501EA">
        <w:rPr>
          <w:u w:color="000000" w:themeColor="text1"/>
        </w:rPr>
        <w:t xml:space="preserve"> or for a person who fails to be appointed.</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t>(B)</w:t>
      </w:r>
      <w:r w:rsidRPr="009501EA">
        <w:rPr>
          <w:strike/>
          <w:u w:color="000000" w:themeColor="text1"/>
        </w:rPr>
        <w:t>(1)</w:t>
      </w:r>
      <w:r w:rsidRPr="009501EA">
        <w:rPr>
          <w:u w:color="000000" w:themeColor="text1"/>
        </w:rPr>
        <w:tab/>
      </w:r>
      <w:r w:rsidRPr="009501EA">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strike/>
          <w:u w:color="000000" w:themeColor="text1"/>
        </w:rPr>
        <w:t>(2)</w:t>
      </w:r>
      <w:r w:rsidRPr="009501EA">
        <w:rPr>
          <w:u w:color="000000" w:themeColor="text1"/>
        </w:rPr>
        <w:tab/>
      </w:r>
      <w:r w:rsidRPr="009501EA">
        <w:rPr>
          <w:strike/>
          <w:u w:color="000000" w:themeColor="text1"/>
        </w:rPr>
        <w:t>The at</w:t>
      </w:r>
      <w:r w:rsidRPr="009501EA">
        <w:rPr>
          <w:strike/>
          <w:u w:color="000000" w:themeColor="text1"/>
        </w:rPr>
        <w:noBreakHyphen/>
        <w:t>large appointment made by the Governor</w:t>
      </w:r>
      <w:r w:rsidRPr="009501EA">
        <w:rPr>
          <w:u w:color="000000" w:themeColor="text1"/>
        </w:rPr>
        <w:t xml:space="preserve"> </w:t>
      </w:r>
      <w:r w:rsidRPr="009501EA">
        <w:rPr>
          <w:strike/>
          <w:u w:color="000000" w:themeColor="text1"/>
        </w:rPr>
        <w:t>must be transmitted to the Joint Transportation Review Committee. The Joint Transportation Review Committee must determine whether the at</w:t>
      </w:r>
      <w:r w:rsidRPr="009501EA">
        <w:rPr>
          <w:strike/>
          <w:u w:color="000000" w:themeColor="text1"/>
        </w:rPr>
        <w:noBreakHyphen/>
        <w:t>large</w:t>
      </w:r>
      <w:r w:rsidRPr="009501EA">
        <w:rPr>
          <w:u w:color="000000" w:themeColor="text1"/>
        </w:rPr>
        <w:t xml:space="preserve"> </w:t>
      </w:r>
      <w:r w:rsidRPr="009501EA">
        <w:rPr>
          <w:strike/>
          <w:u w:color="000000" w:themeColor="text1"/>
        </w:rPr>
        <w:t>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strike/>
          <w:u w:color="000000" w:themeColor="text1"/>
        </w:rPr>
        <w:t>(C)</w:t>
      </w:r>
      <w:r w:rsidRPr="009501EA">
        <w:rPr>
          <w:u w:color="000000" w:themeColor="text1"/>
        </w:rPr>
        <w:tab/>
      </w:r>
      <w:r w:rsidRPr="009501EA">
        <w:rPr>
          <w:strike/>
          <w:u w:color="000000" w:themeColor="text1"/>
        </w:rPr>
        <w:t>The qualifications that each commission member</w:t>
      </w:r>
      <w:r w:rsidRPr="009501EA">
        <w:rPr>
          <w:u w:color="000000" w:themeColor="text1"/>
        </w:rPr>
        <w:t xml:space="preserve"> </w:t>
      </w:r>
      <w:r w:rsidRPr="009501EA">
        <w:rPr>
          <w:strike/>
          <w:u w:color="000000" w:themeColor="text1"/>
        </w:rPr>
        <w:t>must possess, include, but are not limited to:</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strike/>
          <w:u w:color="000000" w:themeColor="text1"/>
        </w:rPr>
        <w:t>(1)</w:t>
      </w:r>
      <w:r w:rsidRPr="009501EA">
        <w:rPr>
          <w:u w:color="000000" w:themeColor="text1"/>
        </w:rPr>
        <w:tab/>
      </w:r>
      <w:r w:rsidRPr="009501EA">
        <w:rPr>
          <w:strike/>
          <w:u w:color="000000" w:themeColor="text1"/>
        </w:rPr>
        <w:t>a baccalaureate or more advanced degree from:</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(a)</w:t>
      </w:r>
      <w:r w:rsidRPr="009501EA">
        <w:rPr>
          <w:u w:color="000000" w:themeColor="text1"/>
        </w:rPr>
        <w:tab/>
      </w:r>
      <w:r w:rsidRPr="009501EA">
        <w:rPr>
          <w:strike/>
          <w:u w:color="000000" w:themeColor="text1"/>
        </w:rPr>
        <w:t>a recognized institution of higher learning requiring face</w:t>
      </w:r>
      <w:r w:rsidRPr="009501EA">
        <w:rPr>
          <w:strike/>
          <w:u w:color="000000" w:themeColor="text1"/>
        </w:rPr>
        <w:noBreakHyphen/>
        <w:t>to</w:t>
      </w:r>
      <w:r w:rsidRPr="009501EA">
        <w:rPr>
          <w:strike/>
          <w:u w:color="000000" w:themeColor="text1"/>
        </w:rPr>
        <w:noBreakHyphen/>
        <w:t>face contact between its students and instructors prior to completion of the academic program;</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(b)</w:t>
      </w:r>
      <w:r w:rsidRPr="009501EA">
        <w:rPr>
          <w:u w:color="000000" w:themeColor="text1"/>
        </w:rPr>
        <w:tab/>
      </w:r>
      <w:r w:rsidRPr="009501EA">
        <w:rPr>
          <w:strike/>
          <w:u w:color="000000" w:themeColor="text1"/>
        </w:rPr>
        <w:t>an institution of higher learning that has been accredited by a regional or national accrediting body; or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(c)</w:t>
      </w:r>
      <w:r w:rsidRPr="009501EA">
        <w:rPr>
          <w:u w:color="000000" w:themeColor="text1"/>
        </w:rPr>
        <w:tab/>
      </w:r>
      <w:r w:rsidRPr="009501EA">
        <w:rPr>
          <w:strike/>
          <w:u w:color="000000" w:themeColor="text1"/>
        </w:rPr>
        <w:t>an institution of higher learning chartered before 1962;</w:t>
      </w:r>
      <w:r w:rsidRPr="009501EA">
        <w:rPr>
          <w:u w:color="000000" w:themeColor="text1"/>
        </w:rPr>
        <w:t xml:space="preserve"> </w:t>
      </w:r>
      <w:r w:rsidRPr="009501EA">
        <w:rPr>
          <w:strike/>
          <w:u w:color="000000" w:themeColor="text1"/>
        </w:rPr>
        <w:t>or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strike/>
          <w:u w:color="000000" w:themeColor="text1"/>
        </w:rPr>
        <w:t>(2)</w:t>
      </w:r>
      <w:r w:rsidRPr="009501EA">
        <w:rPr>
          <w:u w:color="000000" w:themeColor="text1"/>
        </w:rPr>
        <w:tab/>
      </w:r>
      <w:r w:rsidRPr="009501EA">
        <w:rPr>
          <w:strike/>
          <w:u w:color="000000" w:themeColor="text1"/>
        </w:rPr>
        <w:t>a background of at least five years in any combination of the following fields of expertise:</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(a)</w:t>
      </w:r>
      <w:r w:rsidRPr="009501EA">
        <w:rPr>
          <w:u w:color="000000" w:themeColor="text1"/>
        </w:rPr>
        <w:tab/>
      </w:r>
      <w:r w:rsidRPr="009501EA">
        <w:rPr>
          <w:strike/>
          <w:u w:color="000000" w:themeColor="text1"/>
        </w:rPr>
        <w:t>transportation;</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(b)</w:t>
      </w:r>
      <w:r w:rsidRPr="009501EA">
        <w:rPr>
          <w:u w:color="000000" w:themeColor="text1"/>
        </w:rPr>
        <w:tab/>
      </w:r>
      <w:r w:rsidRPr="009501EA">
        <w:rPr>
          <w:strike/>
          <w:u w:color="000000" w:themeColor="text1"/>
        </w:rPr>
        <w:t>construction;</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(c)</w:t>
      </w:r>
      <w:r w:rsidRPr="009501EA">
        <w:rPr>
          <w:u w:color="000000" w:themeColor="text1"/>
        </w:rPr>
        <w:tab/>
      </w:r>
      <w:r w:rsidRPr="009501EA">
        <w:rPr>
          <w:strike/>
          <w:u w:color="000000" w:themeColor="text1"/>
        </w:rPr>
        <w:t>finance;</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(d)</w:t>
      </w:r>
      <w:r w:rsidRPr="009501EA">
        <w:rPr>
          <w:u w:color="000000" w:themeColor="text1"/>
        </w:rPr>
        <w:tab/>
      </w:r>
      <w:r w:rsidRPr="009501EA">
        <w:rPr>
          <w:strike/>
          <w:u w:color="000000" w:themeColor="text1"/>
        </w:rPr>
        <w:t>law;</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(e)</w:t>
      </w:r>
      <w:r w:rsidRPr="009501EA">
        <w:rPr>
          <w:u w:color="000000" w:themeColor="text1"/>
        </w:rPr>
        <w:tab/>
      </w:r>
      <w:r w:rsidRPr="009501EA">
        <w:rPr>
          <w:strike/>
          <w:u w:color="000000" w:themeColor="text1"/>
        </w:rPr>
        <w:t>environmental issues;</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(f)</w:t>
      </w:r>
      <w:r w:rsidRPr="009501EA">
        <w:rPr>
          <w:u w:color="000000" w:themeColor="text1"/>
        </w:rPr>
        <w:tab/>
      </w:r>
      <w:r w:rsidRPr="009501EA">
        <w:rPr>
          <w:strike/>
          <w:u w:color="000000" w:themeColor="text1"/>
        </w:rPr>
        <w:t>management; or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(g)</w:t>
      </w:r>
      <w:r w:rsidRPr="009501EA">
        <w:rPr>
          <w:u w:color="000000" w:themeColor="text1"/>
        </w:rPr>
        <w:tab/>
      </w:r>
      <w:r w:rsidRPr="009501EA">
        <w:rPr>
          <w:strike/>
          <w:u w:color="000000" w:themeColor="text1"/>
        </w:rPr>
        <w:t>engineering.</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lastRenderedPageBreak/>
        <w:tab/>
      </w:r>
      <w:r w:rsidRPr="009501EA">
        <w:rPr>
          <w:strike/>
          <w:u w:color="000000" w:themeColor="text1"/>
        </w:rPr>
        <w:t>(D)</w:t>
      </w:r>
      <w:r w:rsidRPr="009501EA">
        <w:rPr>
          <w:u w:color="000000" w:themeColor="text1"/>
        </w:rPr>
        <w:tab/>
        <w:t xml:space="preserve">No member of the General Assembly or member of his immediate family shall be </w:t>
      </w:r>
      <w:r w:rsidRPr="009501EA">
        <w:rPr>
          <w:strike/>
          <w:u w:color="000000" w:themeColor="text1"/>
        </w:rPr>
        <w:t>elected or</w:t>
      </w:r>
      <w:r w:rsidRPr="009501EA">
        <w:rPr>
          <w:u w:color="000000" w:themeColor="text1"/>
        </w:rPr>
        <w:t xml:space="preserve"> appointed to the commission while the member is serving in the General Assembly; nor shall a member of the General Assembly or a member of his immediate family be </w:t>
      </w:r>
      <w:r w:rsidRPr="009501EA">
        <w:rPr>
          <w:strike/>
          <w:u w:color="000000" w:themeColor="text1"/>
        </w:rPr>
        <w:t>elected or</w:t>
      </w:r>
      <w:r w:rsidRPr="009501EA">
        <w:rPr>
          <w:u w:color="000000" w:themeColor="text1"/>
        </w:rPr>
        <w:t xml:space="preserve"> appointed to the commission for a period of four years after the member either: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t>(1)</w:t>
      </w:r>
      <w:r w:rsidRPr="009501EA">
        <w:rPr>
          <w:u w:color="000000" w:themeColor="text1"/>
        </w:rPr>
        <w:tab/>
        <w:t>ceases to be a member of the General Assembly; or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t>(2)</w:t>
      </w:r>
      <w:r w:rsidRPr="009501EA">
        <w:rPr>
          <w:u w:color="000000" w:themeColor="text1"/>
        </w:rPr>
        <w:tab/>
        <w:t>fails to file for election to the General Assembly in accordance with Section 7</w:t>
      </w:r>
      <w:r w:rsidRPr="009501EA">
        <w:rPr>
          <w:u w:color="000000" w:themeColor="text1"/>
        </w:rPr>
        <w:noBreakHyphen/>
        <w:t>11</w:t>
      </w:r>
      <w:r w:rsidRPr="009501EA">
        <w:rPr>
          <w:u w:color="000000" w:themeColor="text1"/>
        </w:rPr>
        <w:noBreakHyphen/>
        <w:t>15.</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t>Section 57</w:t>
      </w:r>
      <w:r w:rsidRPr="009501EA">
        <w:rPr>
          <w:u w:color="000000" w:themeColor="text1"/>
        </w:rPr>
        <w:noBreakHyphen/>
        <w:t>1</w:t>
      </w:r>
      <w:r w:rsidRPr="009501EA">
        <w:rPr>
          <w:u w:color="000000" w:themeColor="text1"/>
        </w:rPr>
        <w:noBreakHyphen/>
        <w:t>320.</w:t>
      </w:r>
      <w:r w:rsidRPr="009501EA">
        <w:rPr>
          <w:u w:color="000000" w:themeColor="text1"/>
        </w:rPr>
        <w:tab/>
        <w:t>(A)</w:t>
      </w:r>
      <w:r w:rsidRPr="009501EA">
        <w:rPr>
          <w:u w:color="000000" w:themeColor="text1"/>
        </w:rPr>
        <w:tab/>
      </w:r>
      <w:r w:rsidRPr="009501EA">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strike/>
          <w:u w:color="000000" w:themeColor="text1"/>
        </w:rPr>
        <w:t>(B)</w:t>
      </w:r>
      <w:r w:rsidRPr="009501EA">
        <w:rPr>
          <w:u w:color="000000" w:themeColor="text1"/>
        </w:rPr>
        <w:tab/>
        <w:t xml:space="preserve">No county within a Department of Transportation district shall have a resident commission member for more than one consecutive term </w:t>
      </w:r>
      <w:r w:rsidRPr="009501EA">
        <w:rPr>
          <w:strike/>
          <w:u w:color="000000" w:themeColor="text1"/>
        </w:rPr>
        <w:t>and in no event shall any two persons from the same county serve as a commission member simultaneously</w:t>
      </w:r>
      <w:r w:rsidRPr="009501EA">
        <w:rPr>
          <w:u w:color="000000" w:themeColor="text1"/>
        </w:rPr>
        <w:t xml:space="preserve"> </w:t>
      </w:r>
      <w:r w:rsidRPr="009501EA">
        <w:rPr>
          <w:strike/>
          <w:u w:color="000000" w:themeColor="text1"/>
        </w:rPr>
        <w:t>except as provided hereinafter</w:t>
      </w:r>
      <w:r w:rsidRPr="009501EA">
        <w:rPr>
          <w:u w:color="000000" w:themeColor="text1"/>
        </w:rPr>
        <w:t>.</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501EA">
        <w:rPr>
          <w:u w:color="000000" w:themeColor="text1"/>
        </w:rPr>
        <w:tab/>
      </w:r>
      <w:r w:rsidRPr="009501EA">
        <w:rPr>
          <w:strike/>
          <w:u w:color="000000" w:themeColor="text1"/>
        </w:rPr>
        <w:t>Section 57</w:t>
      </w:r>
      <w:r w:rsidRPr="009501EA">
        <w:rPr>
          <w:strike/>
          <w:u w:color="000000" w:themeColor="text1"/>
        </w:rPr>
        <w:noBreakHyphen/>
        <w:t>1</w:t>
      </w:r>
      <w:r w:rsidRPr="009501EA">
        <w:rPr>
          <w:strike/>
          <w:u w:color="000000" w:themeColor="text1"/>
        </w:rPr>
        <w:noBreakHyphen/>
        <w:t>325.</w:t>
      </w:r>
      <w:r w:rsidRPr="009501EA">
        <w:rPr>
          <w:u w:color="000000" w:themeColor="text1"/>
        </w:rPr>
        <w:tab/>
      </w:r>
      <w:r w:rsidRPr="009501EA">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501EA">
        <w:rPr>
          <w:u w:color="000000" w:themeColor="text1"/>
        </w:rPr>
        <w:tab/>
      </w:r>
      <w:r w:rsidRPr="009501EA">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rPr>
          <w:u w:color="000000" w:themeColor="text1"/>
        </w:rPr>
        <w:tab/>
        <w:t>Section 57</w:t>
      </w:r>
      <w:r w:rsidRPr="009501EA">
        <w:rPr>
          <w:u w:color="000000" w:themeColor="text1"/>
        </w:rPr>
        <w:noBreakHyphen/>
        <w:t>1</w:t>
      </w:r>
      <w:r w:rsidRPr="009501EA">
        <w:rPr>
          <w:u w:color="000000" w:themeColor="text1"/>
        </w:rPr>
        <w:noBreakHyphen/>
        <w:t>330.</w:t>
      </w:r>
      <w:r w:rsidRPr="009501EA">
        <w:tab/>
      </w:r>
      <w:r w:rsidRPr="009501EA">
        <w:rPr>
          <w:strike/>
        </w:rPr>
        <w:t>(A)</w:t>
      </w:r>
      <w:r w:rsidRPr="009501EA">
        <w:tab/>
      </w:r>
      <w:r w:rsidRPr="009501EA">
        <w:rPr>
          <w:strike/>
        </w:rPr>
        <w:t>For the purposes of electing a commission member, a legislator shall vote only in the congressional district in which he resides. All commission members</w:t>
      </w:r>
      <w:r w:rsidRPr="009501EA">
        <w:t xml:space="preserve"> </w:t>
      </w:r>
      <w:r w:rsidRPr="009501EA">
        <w:rPr>
          <w:u w:val="single"/>
        </w:rPr>
        <w:t>Commissioners</w:t>
      </w:r>
      <w:r w:rsidRPr="009501EA">
        <w:t xml:space="preserve"> are </w:t>
      </w:r>
      <w:r w:rsidRPr="009501EA">
        <w:rPr>
          <w:strike/>
        </w:rPr>
        <w:t>elected</w:t>
      </w:r>
      <w:r w:rsidRPr="009501EA">
        <w:t xml:space="preserve"> </w:t>
      </w:r>
      <w:r w:rsidRPr="009501EA">
        <w:rPr>
          <w:u w:val="single"/>
        </w:rPr>
        <w:t>appointed</w:t>
      </w:r>
      <w:r w:rsidRPr="009501EA">
        <w:t xml:space="preserve"> to a term of office of four years which expires on </w:t>
      </w:r>
      <w:r w:rsidRPr="009501EA">
        <w:rPr>
          <w:strike/>
        </w:rPr>
        <w:t>February fifteenth</w:t>
      </w:r>
      <w:r w:rsidRPr="009501EA">
        <w:t xml:space="preserve"> </w:t>
      </w:r>
      <w:r w:rsidRPr="009501EA">
        <w:rPr>
          <w:u w:val="single"/>
        </w:rPr>
        <w:t>December 31</w:t>
      </w:r>
      <w:r w:rsidRPr="009501EA">
        <w:t xml:space="preserve"> of the appropriate year. Commissioners shall continue to serve until their successors are </w:t>
      </w:r>
      <w:r w:rsidRPr="009501EA">
        <w:rPr>
          <w:strike/>
        </w:rPr>
        <w:t>elected</w:t>
      </w:r>
      <w:r w:rsidRPr="009501EA">
        <w:t xml:space="preserve"> </w:t>
      </w:r>
      <w:r w:rsidRPr="009501EA">
        <w:rPr>
          <w:u w:val="single"/>
        </w:rPr>
        <w:t>appointed and confirmed</w:t>
      </w:r>
      <w:r w:rsidRPr="009501EA">
        <w:t xml:space="preserve"> </w:t>
      </w:r>
      <w:r w:rsidRPr="009501EA">
        <w:rPr>
          <w:strike/>
        </w:rPr>
        <w:t>and qualify</w:t>
      </w:r>
      <w:r w:rsidRPr="009501EA">
        <w:t>, provided that a commissioner may only serve in a hold</w:t>
      </w:r>
      <w:r w:rsidRPr="009501EA">
        <w:noBreakHyphen/>
        <w:t xml:space="preserve">over capacity for a period not to exceed </w:t>
      </w:r>
      <w:r w:rsidRPr="009501EA">
        <w:rPr>
          <w:strike/>
        </w:rPr>
        <w:t>six</w:t>
      </w:r>
      <w:r w:rsidRPr="009501EA">
        <w:t xml:space="preserve"> </w:t>
      </w:r>
      <w:r w:rsidRPr="009501EA">
        <w:rPr>
          <w:u w:val="single"/>
        </w:rPr>
        <w:t>five</w:t>
      </w:r>
      <w:r w:rsidRPr="009501EA">
        <w:t xml:space="preserve"> months. Any vacancy occurring in the office of commissioner shall be filled by </w:t>
      </w:r>
      <w:r w:rsidRPr="009501EA">
        <w:rPr>
          <w:strike/>
        </w:rPr>
        <w:t>election or</w:t>
      </w:r>
      <w:r w:rsidRPr="009501EA">
        <w:t xml:space="preserve"> appointment in the manner provided in this article for the unexpired term only. No person is eligible to serve as a commission member who is not a resident of that district at the time of his appointment. Failure by an elected commission member to maintain residency in the district for which he is elected shall result in the forfeiture of his office.</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r>
      <w:r w:rsidRPr="009501EA">
        <w:rPr>
          <w:strike/>
        </w:rPr>
        <w:t>(B)</w:t>
      </w:r>
      <w:r w:rsidRPr="009501EA">
        <w:tab/>
      </w:r>
      <w:r w:rsidRPr="009501EA">
        <w:rPr>
          <w:strike/>
        </w:rPr>
        <w:t>The at</w:t>
      </w:r>
      <w:r w:rsidRPr="009501EA">
        <w:rPr>
          <w:strike/>
        </w:rPr>
        <w:noBreakHyphen/>
        <w:t>large commission member shall serve at the pleasure of the Governor.</w:t>
      </w:r>
      <w:r w:rsidRPr="009501EA">
        <w:t xml:space="preserve"> The at</w:t>
      </w:r>
      <w:r w:rsidRPr="009501EA">
        <w:noBreakHyphen/>
        <w:t xml:space="preserve">large commission member may be appointed from any county in the State </w:t>
      </w:r>
      <w:r w:rsidRPr="009501EA">
        <w:rPr>
          <w:strike/>
        </w:rPr>
        <w:t>unless another commission member is serving from that county</w:t>
      </w:r>
      <w:r w:rsidRPr="009501EA">
        <w:t>. Failure by the at</w:t>
      </w:r>
      <w:r w:rsidRPr="009501EA">
        <w:noBreakHyphen/>
        <w:t>large commission member to maintain residence in the State shall result in a forfeiture of his office.</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r>
      <w:r w:rsidRPr="009501EA">
        <w:rPr>
          <w:strike/>
        </w:rPr>
        <w:t>(C)</w:t>
      </w:r>
      <w:r w:rsidRPr="009501EA">
        <w:tab/>
      </w:r>
      <w:r w:rsidRPr="009501EA">
        <w:rPr>
          <w:strike/>
        </w:rPr>
        <w:t>All elected commission members may be removed from office as provided in Section 1</w:t>
      </w:r>
      <w:r w:rsidRPr="009501EA">
        <w:rPr>
          <w:strike/>
        </w:rPr>
        <w:noBreakHyphen/>
        <w:t>3</w:t>
      </w:r>
      <w:r w:rsidRPr="009501EA">
        <w:rPr>
          <w:strike/>
        </w:rPr>
        <w:noBreakHyphen/>
        <w:t>240(C)(1).</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t>Section 57</w:t>
      </w:r>
      <w:r w:rsidRPr="009501EA">
        <w:noBreakHyphen/>
        <w:t>1</w:t>
      </w:r>
      <w:r w:rsidRPr="009501EA">
        <w:noBreakHyphen/>
        <w:t>340.</w:t>
      </w:r>
      <w:r w:rsidRPr="009501EA">
        <w:tab/>
        <w:t xml:space="preserve">Each commission member, within thirty days after his </w:t>
      </w:r>
      <w:r w:rsidRPr="009501EA">
        <w:rPr>
          <w:strike/>
        </w:rPr>
        <w:t>election or</w:t>
      </w:r>
      <w:r w:rsidRPr="009501EA">
        <w:t xml:space="preserve"> appointment, and before entering upon the discharge of the duties of his office, shall take, subscribe, and file with the Secretary of State the oath of office prescribed by the Constitution of the State.”</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B.</w:t>
      </w:r>
      <w:r w:rsidRPr="009501EA">
        <w:tab/>
        <w:t>Members of the Department of Transportation Commission serving on the effective date of this act may continue to serve on the commission until his term expires. A commissioner who represents a transportation district serving on the effective date of this act shall be eligible to serve as the gubernatorial appointee to the commission for a full term as provided in this act.</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SECTION</w:t>
      </w:r>
      <w:r w:rsidRPr="009501EA">
        <w:tab/>
        <w:t>2.</w:t>
      </w:r>
      <w:r w:rsidRPr="009501EA">
        <w:tab/>
        <w:t>Section 57</w:t>
      </w:r>
      <w:r w:rsidRPr="009501EA">
        <w:noBreakHyphen/>
        <w:t>1</w:t>
      </w:r>
      <w:r w:rsidRPr="009501EA">
        <w:noBreakHyphen/>
        <w:t>410 of the 1976 Code is amended to read:</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t>“</w:t>
      </w:r>
      <w:r w:rsidRPr="009501EA">
        <w:rPr>
          <w:snapToGrid w:val="0"/>
        </w:rPr>
        <w:t>Section 57</w:t>
      </w:r>
      <w:r w:rsidRPr="009501EA">
        <w:rPr>
          <w:snapToGrid w:val="0"/>
        </w:rPr>
        <w:noBreakHyphen/>
        <w:t>1</w:t>
      </w:r>
      <w:r w:rsidRPr="009501EA">
        <w:rPr>
          <w:snapToGrid w:val="0"/>
        </w:rPr>
        <w:noBreakHyphen/>
        <w:t>410.</w:t>
      </w:r>
      <w:r w:rsidRPr="009501EA">
        <w:rPr>
          <w:snapToGrid w:val="0"/>
        </w:rPr>
        <w:tab/>
      </w:r>
      <w:r w:rsidRPr="009501EA">
        <w:rPr>
          <w:strike/>
          <w:snapToGrid w:val="0"/>
        </w:rPr>
        <w:t xml:space="preserve">The Governor shall appoint, with the advice and consent of the Senate, a Secretary of Transportation who shall </w:t>
      </w:r>
      <w:r w:rsidRPr="009501EA">
        <w:rPr>
          <w:strike/>
          <w:snapToGrid w:val="0"/>
        </w:rPr>
        <w:lastRenderedPageBreak/>
        <w:t>serve at the pleasure of the Governor</w:t>
      </w:r>
      <w:r w:rsidRPr="009501EA">
        <w:rPr>
          <w:snapToGrid w:val="0"/>
        </w:rPr>
        <w:t xml:space="preserve"> </w:t>
      </w:r>
      <w:r w:rsidRPr="009501EA">
        <w:rPr>
          <w:snapToGrid w:val="0"/>
          <w:u w:val="single"/>
        </w:rPr>
        <w:t>The commision, after consultation with and approval by the Governor, shall appoint a Secretary of Transportation. Upon appointment, the commission must submit the name of its appointee to the Senate for the Senate’s advice and consent</w:t>
      </w:r>
      <w:r w:rsidRPr="009501EA">
        <w:rPr>
          <w:snapToGrid w:val="0"/>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9501EA">
        <w:rPr>
          <w:snapToGrid w:val="0"/>
        </w:rPr>
        <w:noBreakHyphen/>
        <w:t>11</w:t>
      </w:r>
      <w:r w:rsidRPr="009501EA">
        <w:rPr>
          <w:snapToGrid w:val="0"/>
        </w:rPr>
        <w:noBreakHyphen/>
        <w:t>160 and for which funds have been authorized in the general appropriations act.”</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3.</w:t>
      </w:r>
      <w:r>
        <w:tab/>
        <w:t>Section 11</w:t>
      </w:r>
      <w:r>
        <w:noBreakHyphen/>
        <w:t>43</w:t>
      </w:r>
      <w:r>
        <w:noBreakHyphen/>
        <w:t>150 of the 1976 Code is amended by adding an appropriately lettered subsection at the end to read:</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w:t>
      </w:r>
      <w:bookmarkStart w:id="4" w:name="temp"/>
      <w:bookmarkEnd w:id="4"/>
      <w:r>
        <w:tab/>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w:t>
      </w:r>
      <w:r w:rsidRPr="00D10ABF">
        <w:t>’</w:t>
      </w:r>
      <w:r>
        <w:t xml:space="preserve">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SECTION</w:t>
      </w:r>
      <w:r w:rsidRPr="009501EA">
        <w:tab/>
        <w:t>4.</w:t>
      </w:r>
      <w:r w:rsidRPr="009501EA">
        <w:tab/>
        <w:t>Article 1, Chapter 1, Title 57 of the 1976 Code is amended by adding:</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t>“Section 57</w:t>
      </w:r>
      <w:r w:rsidRPr="009501EA">
        <w:noBreakHyphen/>
        <w:t>1</w:t>
      </w:r>
      <w:r w:rsidRPr="009501EA">
        <w:noBreakHyphen/>
        <w:t>100.</w:t>
      </w:r>
      <w:r w:rsidRPr="009501EA">
        <w:tab/>
        <w:t>(A).</w:t>
      </w:r>
      <w:r w:rsidRPr="009501EA">
        <w:tab/>
        <w:t>The General Assembly, in the annual general appropriations act, shall appropriate out of the estimated revenue of the general fund for the fiscal year for which the appropriations are made, $400 million to the State Highway Fund.</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t>(B)</w:t>
      </w:r>
      <w:r w:rsidRPr="009501EA">
        <w:tab/>
        <w:t>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SECTION</w:t>
      </w:r>
      <w:r w:rsidRPr="009501EA">
        <w:tab/>
        <w:t>5.</w:t>
      </w:r>
      <w:r w:rsidRPr="009501EA">
        <w:tab/>
        <w:t>Article 7, Chapter 1, Title 57 of the 1976 Code is repealed.</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BF"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501EA">
        <w:lastRenderedPageBreak/>
        <w:t>SECTION</w:t>
      </w:r>
      <w:r w:rsidRPr="009501EA">
        <w:tab/>
        <w:t>6.</w:t>
      </w:r>
      <w:r w:rsidRPr="009501EA">
        <w:tab/>
        <w:t>This act takes effect upon approval by the Governor.</w:t>
      </w:r>
    </w:p>
    <w:p w:rsidR="00F51864" w:rsidRDefault="0010776B"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049C" w:rsidRDefault="004E049C" w:rsidP="004E049C">
      <w:pPr>
        <w:suppressAutoHyphens/>
      </w:pPr>
    </w:p>
    <w:sectPr w:rsidR="004E049C" w:rsidSect="003475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439" w:rsidRDefault="00F60439" w:rsidP="009F0C77">
      <w:r>
        <w:separator/>
      </w:r>
    </w:p>
  </w:endnote>
  <w:endnote w:type="continuationSeparator" w:id="0">
    <w:p w:rsidR="00F60439" w:rsidRDefault="00F60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620BFB-6793-4CD0-9C35-41CF470B6592}"/>
    <w:embedBold r:id="rId2" w:fontKey="{DE86AED9-4BD3-470A-9689-81F0117CD132}"/>
  </w:font>
  <w:font w:name="Calibri">
    <w:panose1 w:val="020F0502020204030204"/>
    <w:charset w:val="00"/>
    <w:family w:val="swiss"/>
    <w:pitch w:val="variable"/>
    <w:sig w:usb0="E00002FF" w:usb1="4000ACFF" w:usb2="00000001" w:usb3="00000000" w:csb0="0000019F" w:csb1="00000000"/>
    <w:embedRegular r:id="rId3" w:fontKey="{8D1175DA-9EE6-4D5C-9EDD-616F148DD841}"/>
    <w:embedBold r:id="rId4" w:fontKey="{9536FB8C-B1A7-448D-9036-1E8BCA47931D}"/>
  </w:font>
  <w:font w:name="Segoe UI">
    <w:panose1 w:val="020B0502040204020203"/>
    <w:charset w:val="00"/>
    <w:family w:val="swiss"/>
    <w:pitch w:val="variable"/>
    <w:sig w:usb0="E10022FF" w:usb1="C000E47F" w:usb2="00000029" w:usb3="00000000" w:csb0="000001DF" w:csb1="00000000"/>
    <w:embedRegular r:id="rId5" w:fontKey="{44F48329-9255-4747-8A8C-F17E7AEC6923}"/>
  </w:font>
  <w:font w:name="Cambria">
    <w:panose1 w:val="02040503050406030204"/>
    <w:charset w:val="00"/>
    <w:family w:val="roman"/>
    <w:pitch w:val="variable"/>
    <w:sig w:usb0="E00002FF" w:usb1="400004FF" w:usb2="00000000" w:usb3="00000000" w:csb0="0000019F" w:csb1="00000000"/>
    <w:embedRegular r:id="rId6" w:fontKey="{158B0316-B506-4835-A95B-E469AAF3A7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fldChar w:fldCharType="begin"/>
    </w:r>
    <w:r>
      <w:instrText xml:space="preserve"> PAGE  \* MERGEFORMAT </w:instrText>
    </w:r>
    <w:r>
      <w:fldChar w:fldCharType="separate"/>
    </w:r>
    <w:r w:rsidR="004E049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4E04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439" w:rsidRDefault="00F60439" w:rsidP="009F0C77">
      <w:r>
        <w:separator/>
      </w:r>
    </w:p>
  </w:footnote>
  <w:footnote w:type="continuationSeparator" w:id="0">
    <w:p w:rsidR="00F60439" w:rsidRDefault="00F60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273D1"/>
    <w:rsid w:val="00037FA0"/>
    <w:rsid w:val="00060F52"/>
    <w:rsid w:val="000632E8"/>
    <w:rsid w:val="00084A97"/>
    <w:rsid w:val="000B038B"/>
    <w:rsid w:val="000E1785"/>
    <w:rsid w:val="000F40FA"/>
    <w:rsid w:val="000F6802"/>
    <w:rsid w:val="0010776B"/>
    <w:rsid w:val="00133E66"/>
    <w:rsid w:val="001435A3"/>
    <w:rsid w:val="00146ED3"/>
    <w:rsid w:val="00151044"/>
    <w:rsid w:val="0016219D"/>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C0C2C"/>
    <w:rsid w:val="002D2A44"/>
    <w:rsid w:val="002E5912"/>
    <w:rsid w:val="00301B21"/>
    <w:rsid w:val="00310138"/>
    <w:rsid w:val="00325348"/>
    <w:rsid w:val="0032732C"/>
    <w:rsid w:val="00336AD0"/>
    <w:rsid w:val="00346F7A"/>
    <w:rsid w:val="003475B4"/>
    <w:rsid w:val="0037079A"/>
    <w:rsid w:val="003C4DAB"/>
    <w:rsid w:val="003D01E8"/>
    <w:rsid w:val="003E5288"/>
    <w:rsid w:val="003F6D79"/>
    <w:rsid w:val="004173CB"/>
    <w:rsid w:val="0041760A"/>
    <w:rsid w:val="00417C01"/>
    <w:rsid w:val="00424CA6"/>
    <w:rsid w:val="004403BD"/>
    <w:rsid w:val="004610D4"/>
    <w:rsid w:val="00471406"/>
    <w:rsid w:val="004739D6"/>
    <w:rsid w:val="004809EE"/>
    <w:rsid w:val="004B1111"/>
    <w:rsid w:val="004E049C"/>
    <w:rsid w:val="004E7D54"/>
    <w:rsid w:val="00511CF6"/>
    <w:rsid w:val="005273C6"/>
    <w:rsid w:val="00530A69"/>
    <w:rsid w:val="00545593"/>
    <w:rsid w:val="005518ED"/>
    <w:rsid w:val="00577C6C"/>
    <w:rsid w:val="005C2FE2"/>
    <w:rsid w:val="005E2BC9"/>
    <w:rsid w:val="00605102"/>
    <w:rsid w:val="006215AA"/>
    <w:rsid w:val="00633733"/>
    <w:rsid w:val="006913C9"/>
    <w:rsid w:val="0069470D"/>
    <w:rsid w:val="006C1315"/>
    <w:rsid w:val="00734F00"/>
    <w:rsid w:val="00785C53"/>
    <w:rsid w:val="007A70AE"/>
    <w:rsid w:val="007C109F"/>
    <w:rsid w:val="007E7091"/>
    <w:rsid w:val="007E7515"/>
    <w:rsid w:val="007F69CF"/>
    <w:rsid w:val="008362E8"/>
    <w:rsid w:val="00853690"/>
    <w:rsid w:val="008718F6"/>
    <w:rsid w:val="00877049"/>
    <w:rsid w:val="008773ED"/>
    <w:rsid w:val="008A1768"/>
    <w:rsid w:val="008B6B01"/>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77109"/>
    <w:rsid w:val="00A833AB"/>
    <w:rsid w:val="00A9741D"/>
    <w:rsid w:val="00AA1BF9"/>
    <w:rsid w:val="00AA5E72"/>
    <w:rsid w:val="00AD4B17"/>
    <w:rsid w:val="00AE61D3"/>
    <w:rsid w:val="00B325BF"/>
    <w:rsid w:val="00B412D4"/>
    <w:rsid w:val="00B44538"/>
    <w:rsid w:val="00B45DBC"/>
    <w:rsid w:val="00B7133A"/>
    <w:rsid w:val="00B85F01"/>
    <w:rsid w:val="00B96730"/>
    <w:rsid w:val="00BA30AE"/>
    <w:rsid w:val="00BA52F6"/>
    <w:rsid w:val="00BE3C22"/>
    <w:rsid w:val="00C0345E"/>
    <w:rsid w:val="00C3483A"/>
    <w:rsid w:val="00C74E9D"/>
    <w:rsid w:val="00C82FD3"/>
    <w:rsid w:val="00C92819"/>
    <w:rsid w:val="00CC63DE"/>
    <w:rsid w:val="00CC6B7B"/>
    <w:rsid w:val="00CD2089"/>
    <w:rsid w:val="00D25557"/>
    <w:rsid w:val="00D73A67"/>
    <w:rsid w:val="00D93439"/>
    <w:rsid w:val="00D970A9"/>
    <w:rsid w:val="00DF3845"/>
    <w:rsid w:val="00DF70AA"/>
    <w:rsid w:val="00DF78A5"/>
    <w:rsid w:val="00E41911"/>
    <w:rsid w:val="00E92EEF"/>
    <w:rsid w:val="00EA6242"/>
    <w:rsid w:val="00EF2368"/>
    <w:rsid w:val="00F24442"/>
    <w:rsid w:val="00F50AE3"/>
    <w:rsid w:val="00F51864"/>
    <w:rsid w:val="00F60439"/>
    <w:rsid w:val="00F67CF1"/>
    <w:rsid w:val="00F840F0"/>
    <w:rsid w:val="00FB0D0D"/>
    <w:rsid w:val="00FB0DEF"/>
    <w:rsid w:val="00FB43B4"/>
    <w:rsid w:val="00FC4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 w:type="paragraph" w:styleId="NoSpacing">
    <w:name w:val="No Spacing"/>
    <w:uiPriority w:val="1"/>
    <w:qFormat/>
    <w:rsid w:val="003475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95343">
      <w:bodyDiv w:val="1"/>
      <w:marLeft w:val="0"/>
      <w:marRight w:val="0"/>
      <w:marTop w:val="0"/>
      <w:marBottom w:val="0"/>
      <w:divBdr>
        <w:top w:val="none" w:sz="0" w:space="0" w:color="auto"/>
        <w:left w:val="none" w:sz="0" w:space="0" w:color="auto"/>
        <w:bottom w:val="none" w:sz="0" w:space="0" w:color="auto"/>
        <w:right w:val="none" w:sz="0" w:space="0" w:color="auto"/>
      </w:divBdr>
    </w:div>
    <w:div w:id="19742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68606-2A59-4D46-8A00-9B8994C1B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3E8B555C.dotm</Template>
  <TotalTime>0</TotalTime>
  <Pages>9</Pages>
  <Words>2464</Words>
  <Characters>12761</Characters>
  <Application>Microsoft Office Word</Application>
  <DocSecurity>0</DocSecurity>
  <Lines>327</Lines>
  <Paragraphs>50</Paragraphs>
  <ScaleCrop>false</ScaleCrop>
  <HeadingPairs>
    <vt:vector size="2" baseType="variant">
      <vt:variant>
        <vt:lpstr>Title</vt:lpstr>
      </vt:variant>
      <vt:variant>
        <vt:i4>1</vt:i4>
      </vt:variant>
    </vt:vector>
  </HeadingPairs>
  <TitlesOfParts>
    <vt:vector size="1" baseType="lpstr">
      <vt:lpstr>2015-2016 Bill 3579: Subject not yet available - South Carolina Legislature Online</vt:lpstr>
    </vt:vector>
  </TitlesOfParts>
  <Company>LPITS</Company>
  <LinksUpToDate>false</LinksUpToDate>
  <CharactersWithSpaces>15246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(Mar. 9, 2016) - South Carolina Legislature Online</dc:title>
  <dc:creator>BRENDA MELTON</dc:creator>
  <cp:lastModifiedBy>Brent Walling</cp:lastModifiedBy>
  <cp:revision>2</cp:revision>
  <cp:lastPrinted>2016-03-09T22:15:00Z</cp:lastPrinted>
  <dcterms:created xsi:type="dcterms:W3CDTF">2016-03-09T22:18:00Z</dcterms:created>
  <dcterms:modified xsi:type="dcterms:W3CDTF">2016-03-09T22:18:00Z</dcterms:modified>
</cp:coreProperties>
</file>