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771" w:rsidRDefault="00DE0D4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B24CB" w:rsidRDefault="00DE0D4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DB24CB">
        <w:t>, 2016</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Pr="00DB24CB" w:rsidRDefault="00DB24CB" w:rsidP="00DB24CB">
      <w:pPr>
        <w:tabs>
          <w:tab w:val="right" w:pos="5933"/>
        </w:tabs>
        <w:suppressAutoHyphens/>
      </w:pPr>
      <w:r>
        <w:tab/>
      </w:r>
      <w:r>
        <w:rPr>
          <w:b/>
          <w:sz w:val="36"/>
        </w:rPr>
        <w:t>H. 4712</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Bannister, Rutherford, G.R. Smith, Lowe, Pitts, Hiott, Erickson, Clemmons, Loftis, G.M. Smith, Hayes, Sandifer, Whitmire, Cole, Simrill, Allison, Cobb</w:t>
      </w:r>
      <w:r>
        <w:noBreakHyphen/>
        <w:t>Hunter, Long, Huggins, Delleney, Pope and Bales</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Default="00DE0D4B" w:rsidP="00D74C0E">
      <w:pPr>
        <w:tabs>
          <w:tab w:val="right" w:pos="5933"/>
        </w:tabs>
        <w:suppressAutoHyphens/>
      </w:pPr>
      <w:r>
        <w:t>S. Printed 4/7</w:t>
      </w:r>
      <w:r w:rsidR="00DB24CB">
        <w:t>/16--S.</w:t>
      </w:r>
      <w:r w:rsidR="00D74C0E">
        <w:tab/>
        <w:t>[SEC 4/11/16 3:59 PM]</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DB24CB" w:rsidRPr="00DB24CB"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D4B" w:rsidRPr="00E0089C" w:rsidRDefault="00DB24C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u w:color="000000" w:themeColor="text1"/>
        </w:rPr>
        <w:tab/>
      </w:r>
      <w:r w:rsidRPr="00E0089C">
        <w:rPr>
          <w:u w:color="000000" w:themeColor="text1"/>
        </w:rPr>
        <w:tab/>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24CB" w:rsidSect="006F5D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94C" w:rsidRDefault="000D194C"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2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3C7D90">
        <w:rPr>
          <w:color w:val="000000" w:themeColor="text1"/>
          <w:u w:color="000000" w:themeColor="text1"/>
        </w:rPr>
        <w:t>O AMEND SECTION 12</w:t>
      </w:r>
      <w:r w:rsidR="00542537">
        <w:rPr>
          <w:color w:val="000000" w:themeColor="text1"/>
          <w:u w:color="000000" w:themeColor="text1"/>
        </w:rPr>
        <w:noBreakHyphen/>
      </w:r>
      <w:r w:rsidRPr="003C7D90">
        <w:rPr>
          <w:color w:val="000000" w:themeColor="text1"/>
          <w:u w:color="000000" w:themeColor="text1"/>
        </w:rPr>
        <w:t>43</w:t>
      </w:r>
      <w:r w:rsidR="00542537">
        <w:rPr>
          <w:color w:val="000000" w:themeColor="text1"/>
          <w:u w:color="000000" w:themeColor="text1"/>
        </w:rPr>
        <w:noBreakHyphen/>
      </w:r>
      <w:r w:rsidRPr="003C7D90">
        <w:rPr>
          <w:color w:val="000000" w:themeColor="text1"/>
          <w:u w:color="000000" w:themeColor="text1"/>
        </w:rPr>
        <w:t>230</w:t>
      </w:r>
      <w:r>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542537">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542537">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Pr>
          <w:color w:val="000000" w:themeColor="text1"/>
          <w:u w:color="000000" w:themeColor="text1"/>
        </w:rPr>
        <w:t>BEFORE</w:t>
      </w:r>
      <w:r w:rsidRPr="003C7D90">
        <w:rPr>
          <w:color w:val="000000" w:themeColor="text1"/>
          <w:u w:color="000000" w:themeColor="text1"/>
        </w:rPr>
        <w:t xml:space="preserve"> THE ERECTION OF THE SIGN.</w:t>
      </w:r>
      <w:bookmarkEnd w:id="1"/>
    </w:p>
    <w:p w:rsidR="0024407E" w:rsidRDefault="00DE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0D4B" w:rsidRDefault="00DE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6A" w:rsidRPr="003C7D90" w:rsidRDefault="00552FD9"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2B6A" w:rsidRPr="003C7D90">
        <w:rPr>
          <w:color w:val="000000" w:themeColor="text1"/>
          <w:u w:color="000000" w:themeColor="text1"/>
        </w:rPr>
        <w:t>Section 12</w:t>
      </w:r>
      <w:r w:rsidR="00542537">
        <w:rPr>
          <w:color w:val="000000" w:themeColor="text1"/>
          <w:u w:color="000000" w:themeColor="text1"/>
        </w:rPr>
        <w:noBreakHyphen/>
      </w:r>
      <w:r w:rsidR="00332B6A" w:rsidRPr="003C7D90">
        <w:rPr>
          <w:color w:val="000000" w:themeColor="text1"/>
          <w:u w:color="000000" w:themeColor="text1"/>
        </w:rPr>
        <w:t>43</w:t>
      </w:r>
      <w:r w:rsidR="00542537">
        <w:rPr>
          <w:color w:val="000000" w:themeColor="text1"/>
          <w:u w:color="000000" w:themeColor="text1"/>
        </w:rPr>
        <w:noBreakHyphen/>
      </w:r>
      <w:r w:rsidR="00332B6A" w:rsidRPr="003C7D90">
        <w:rPr>
          <w:color w:val="000000" w:themeColor="text1"/>
          <w:u w:color="000000" w:themeColor="text1"/>
        </w:rPr>
        <w:t xml:space="preserve">230 of the 1976 Code is amended by </w:t>
      </w:r>
      <w:r w:rsidR="00332B6A">
        <w:rPr>
          <w:color w:val="000000" w:themeColor="text1"/>
          <w:u w:color="000000" w:themeColor="text1"/>
        </w:rPr>
        <w:t>adding a new subsection</w:t>
      </w:r>
      <w:r w:rsidR="00332B6A" w:rsidRPr="003C7D90">
        <w:rPr>
          <w:color w:val="000000" w:themeColor="text1"/>
          <w:u w:color="000000" w:themeColor="text1"/>
        </w:rPr>
        <w:t xml:space="preserve"> to read: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542537">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DE0D4B" w:rsidRPr="00E0089C" w:rsidRDefault="00332B6A"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D90">
        <w:rPr>
          <w:color w:val="000000" w:themeColor="text1"/>
          <w:u w:color="000000" w:themeColor="text1"/>
        </w:rPr>
        <w:tab/>
      </w:r>
      <w:r w:rsidRPr="003C7D90">
        <w:rPr>
          <w:color w:val="000000" w:themeColor="text1"/>
          <w:u w:color="000000" w:themeColor="text1"/>
        </w:rPr>
        <w:tab/>
      </w:r>
      <w:r w:rsidR="00DE0D4B" w:rsidRPr="00E0089C">
        <w:rPr>
          <w:u w:color="000000" w:themeColor="text1"/>
        </w:rPr>
        <w:t>(2)(a)</w:t>
      </w:r>
      <w:r w:rsidR="00DE0D4B" w:rsidRPr="00E0089C">
        <w:rPr>
          <w:u w:color="000000" w:themeColor="text1"/>
        </w:rPr>
        <w:tab/>
        <w:t>If an off</w:t>
      </w:r>
      <w:r w:rsidR="00DE0D4B" w:rsidRPr="00E0089C">
        <w:rPr>
          <w:u w:color="000000" w:themeColor="text1"/>
        </w:rPr>
        <w:noBreakHyphen/>
        <w:t>premises outdoor advertising sign site is one</w:t>
      </w:r>
      <w:r w:rsidR="00DE0D4B" w:rsidRPr="00E0089C">
        <w:rPr>
          <w:u w:color="000000" w:themeColor="text1"/>
        </w:rPr>
        <w:noBreakHyphen/>
        <w:t>quarter of an acre or less, or is otherwise limited to an area large enough only to accommodate the necessary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DE0D4B" w:rsidRPr="00E0089C">
        <w:rPr>
          <w:u w:color="000000" w:themeColor="text1"/>
        </w:rPr>
        <w:noBreakHyphen/>
        <w:t xml:space="preserve">premises </w:t>
      </w:r>
      <w:r w:rsidR="00DE0D4B" w:rsidRPr="00E0089C">
        <w:rPr>
          <w:u w:color="000000" w:themeColor="text1"/>
        </w:rPr>
        <w:lastRenderedPageBreak/>
        <w:t>outdoor advertising sign site real property must be assessed to the site owner at its value before the lease or construction of the sign without regard to the structure, the lease, or lease income, and no separate assessment may be issued for the sign company’s lease or ownership interest.  The lease or construction of such property does not constitute an assessable transfer of interest pursuant to Article 25, Chapter 37, Title 12, and the real property constituting the sign site must maintain its same property tax classification as commercial, manufacturing, agricultural, or utility property as it had before the lease.</w:t>
      </w:r>
    </w:p>
    <w:p w:rsidR="00DE0D4B" w:rsidRPr="00E0089C" w:rsidRDefault="00DE0D4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 xml:space="preserve">    </w:t>
      </w:r>
      <w:r w:rsidRPr="00E0089C">
        <w:rPr>
          <w:u w:color="000000" w:themeColor="text1"/>
        </w:rPr>
        <w:t>(b)</w:t>
      </w:r>
      <w:r w:rsidRPr="00E0089C">
        <w:rPr>
          <w:u w:color="000000" w:themeColor="text1"/>
        </w:rPr>
        <w:tab/>
        <w:t>The provisions of this item do not apply to:</w:t>
      </w:r>
    </w:p>
    <w:p w:rsidR="00DE0D4B" w:rsidRPr="00E0089C" w:rsidRDefault="00DE0D4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u w:color="000000" w:themeColor="text1"/>
        </w:rPr>
        <w:tab/>
      </w:r>
      <w:r w:rsidRPr="00E0089C">
        <w:rPr>
          <w:u w:color="000000" w:themeColor="text1"/>
        </w:rPr>
        <w:tab/>
      </w:r>
      <w:r w:rsidRPr="00E0089C">
        <w:rPr>
          <w:u w:color="000000" w:themeColor="text1"/>
        </w:rPr>
        <w:tab/>
      </w:r>
      <w:r w:rsidRPr="00E0089C">
        <w:rPr>
          <w:u w:color="000000" w:themeColor="text1"/>
        </w:rPr>
        <w:tab/>
        <w:t>(i)</w:t>
      </w:r>
      <w:r w:rsidRPr="00E0089C">
        <w:rPr>
          <w:u w:color="000000" w:themeColor="text1"/>
        </w:rPr>
        <w:tab/>
      </w:r>
      <w:r w:rsidRPr="00E0089C">
        <w:rPr>
          <w:u w:color="000000" w:themeColor="text1"/>
        </w:rPr>
        <w:tab/>
        <w:t>real property whose property tax classification is subject to change due to the addition of buildings, structures, or other improvements subsequent to the erection of the sign on the property; and</w:t>
      </w:r>
    </w:p>
    <w:p w:rsidR="00332B6A" w:rsidRPr="003C7D90" w:rsidRDefault="00DE0D4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89C">
        <w:rPr>
          <w:u w:color="000000" w:themeColor="text1"/>
        </w:rPr>
        <w:tab/>
      </w:r>
      <w:r w:rsidRPr="00E0089C">
        <w:rPr>
          <w:u w:color="000000" w:themeColor="text1"/>
        </w:rPr>
        <w:tab/>
      </w:r>
      <w:r w:rsidRPr="00E0089C">
        <w:rPr>
          <w:u w:color="000000" w:themeColor="text1"/>
        </w:rPr>
        <w:tab/>
      </w:r>
      <w:r w:rsidRPr="00E0089C">
        <w:rPr>
          <w:u w:color="000000" w:themeColor="text1"/>
        </w:rPr>
        <w:tab/>
        <w:t>(ii)</w:t>
      </w:r>
      <w:r w:rsidRPr="00E0089C">
        <w:rPr>
          <w:u w:color="000000" w:themeColor="text1"/>
        </w:rPr>
        <w:tab/>
        <w:t>real property whose property tax classification was changed due to the erection of an on-premises outdoor advertising sign on existing buildings, structures, or other improvements unless the existing buildings, structures, or other improvements qualify within the same property tax classification pursua</w:t>
      </w:r>
      <w:r w:rsidR="009B0683">
        <w:rPr>
          <w:u w:color="000000" w:themeColor="text1"/>
        </w:rPr>
        <w:t>nt to Chapter 43 of this title.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Intangible personal property</w:t>
      </w:r>
      <w:r w:rsidR="00542537" w:rsidRPr="00542537">
        <w:rPr>
          <w:color w:val="000000" w:themeColor="text1"/>
          <w:u w:color="000000" w:themeColor="text1"/>
        </w:rPr>
        <w:t>’</w:t>
      </w:r>
      <w:r w:rsidRPr="003C7D90">
        <w:rPr>
          <w:color w:val="000000" w:themeColor="text1"/>
          <w:u w:color="000000" w:themeColor="text1"/>
        </w:rPr>
        <w:t xml:space="preserve"> has the same meaning as contained in Section 3(j)</w:t>
      </w:r>
      <w:r>
        <w:rPr>
          <w:color w:val="000000" w:themeColor="text1"/>
          <w:u w:color="000000" w:themeColor="text1"/>
        </w:rPr>
        <w:t xml:space="preserve">, </w:t>
      </w:r>
      <w:r w:rsidRPr="003C7D90">
        <w:rPr>
          <w:color w:val="000000" w:themeColor="text1"/>
          <w:u w:color="000000" w:themeColor="text1"/>
        </w:rPr>
        <w:t>Article X, of the Constitution of this State.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Off</w:t>
      </w:r>
      <w:r w:rsidR="00542537">
        <w:rPr>
          <w:color w:val="000000" w:themeColor="text1"/>
          <w:u w:color="000000" w:themeColor="text1"/>
        </w:rPr>
        <w:noBreakHyphen/>
      </w:r>
      <w:r w:rsidRPr="003C7D90">
        <w:rPr>
          <w:color w:val="000000" w:themeColor="text1"/>
          <w:u w:color="000000" w:themeColor="text1"/>
        </w:rPr>
        <w:t>pr</w:t>
      </w:r>
      <w:r>
        <w:rPr>
          <w:color w:val="000000" w:themeColor="text1"/>
          <w:u w:color="000000" w:themeColor="text1"/>
        </w:rPr>
        <w:t>emises outdoor advertising sign</w:t>
      </w:r>
      <w:r w:rsidR="00542537" w:rsidRPr="00542537">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Sign owner</w:t>
      </w:r>
      <w:r w:rsidR="00542537" w:rsidRPr="00542537">
        <w:rPr>
          <w:color w:val="000000" w:themeColor="text1"/>
          <w:u w:color="000000" w:themeColor="text1"/>
        </w:rPr>
        <w:t>’</w:t>
      </w:r>
      <w:r w:rsidRPr="003C7D90">
        <w:rPr>
          <w:color w:val="000000" w:themeColor="text1"/>
          <w:u w:color="000000" w:themeColor="text1"/>
        </w:rPr>
        <w:t xml:space="preserve"> means the owner of an off</w:t>
      </w:r>
      <w:r w:rsidR="00542537">
        <w:rPr>
          <w:color w:val="000000" w:themeColor="text1"/>
          <w:u w:color="000000" w:themeColor="text1"/>
        </w:rPr>
        <w:noBreakHyphen/>
      </w:r>
      <w:r w:rsidRPr="003C7D90">
        <w:rPr>
          <w:color w:val="000000" w:themeColor="text1"/>
          <w:u w:color="000000" w:themeColor="text1"/>
        </w:rPr>
        <w:t>premises outdoor advertising sign.”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FD9" w:rsidRDefault="0024407E"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E24">
        <w:t>SECTION</w:t>
      </w:r>
      <w:r w:rsidRPr="00720E24">
        <w:tab/>
        <w:t>2.</w:t>
      </w:r>
      <w:r w:rsidRPr="00720E24">
        <w:tab/>
      </w:r>
      <w:r w:rsidRPr="00720E24">
        <w:rPr>
          <w:u w:color="000000" w:themeColor="text1"/>
        </w:rPr>
        <w:t xml:space="preserve">This act takes effect upon approval by the Governor and first applies to property tax years after 2014.  Upon the site owner providing written or electronic notice to the county assessor that his affected property was assessed other than as provided by this act, county tax officials shall adjust values and assessment ratios to reflect the provisions of this act, but no refund is allowed on account of the provisions of this act. </w:t>
      </w:r>
    </w:p>
    <w:p w:rsidR="000B73E2" w:rsidRDefault="00542537" w:rsidP="0031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E6D" w:rsidRDefault="00380E6D" w:rsidP="00380E6D">
      <w:pPr>
        <w:suppressAutoHyphens/>
      </w:pPr>
    </w:p>
    <w:sectPr w:rsidR="00380E6D" w:rsidSect="006F5D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D9" w:rsidRDefault="00552FD9" w:rsidP="009F0C77">
      <w:r>
        <w:separator/>
      </w:r>
    </w:p>
  </w:endnote>
  <w:endnote w:type="continuationSeparator" w:id="0">
    <w:p w:rsidR="00552FD9" w:rsidRDefault="0055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ADB308-5002-4B85-83EF-8C57EFE5B70D}"/>
    <w:embedBold r:id="rId2" w:fontKey="{02BFE081-65C9-49C7-B23C-044AEC20FCFE}"/>
  </w:font>
  <w:font w:name="Calibri">
    <w:panose1 w:val="020F0502020204030204"/>
    <w:charset w:val="00"/>
    <w:family w:val="swiss"/>
    <w:pitch w:val="variable"/>
    <w:sig w:usb0="E00002FF" w:usb1="4000ACFF" w:usb2="00000001" w:usb3="00000000" w:csb0="0000019F" w:csb1="00000000"/>
    <w:embedRegular r:id="rId3" w:fontKey="{F12111A7-B299-4AB8-AED8-FCB590AA0E6C}"/>
  </w:font>
  <w:font w:name="Cambria">
    <w:panose1 w:val="02040503050406030204"/>
    <w:charset w:val="00"/>
    <w:family w:val="roman"/>
    <w:pitch w:val="variable"/>
    <w:sig w:usb0="E00002FF" w:usb1="400004FF" w:usb2="00000000" w:usb3="00000000" w:csb0="0000019F" w:csb1="00000000"/>
    <w:embedRegular r:id="rId4" w:fontKey="{BCD3EAF3-3426-4F6E-8A66-EC44B2222B60}"/>
  </w:font>
  <w:font w:name="Segoe UI">
    <w:panose1 w:val="020B0502040204020203"/>
    <w:charset w:val="00"/>
    <w:family w:val="swiss"/>
    <w:pitch w:val="variable"/>
    <w:sig w:usb0="E10022FF" w:usb1="C000E47F" w:usb2="00000029" w:usb3="00000000" w:csb0="000001DF" w:csb1="00000000"/>
    <w:embedRegular r:id="rId5" w:fontKey="{6B99FADC-773C-42EC-9575-EBA1E9FC0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E2" w:rsidRPr="000D194C" w:rsidRDefault="000D194C" w:rsidP="000D194C">
    <w:pPr>
      <w:pStyle w:val="Footer"/>
      <w:tabs>
        <w:tab w:val="clear" w:pos="4680"/>
        <w:tab w:val="clear" w:pos="9360"/>
        <w:tab w:val="center" w:pos="2995"/>
      </w:tabs>
      <w:spacing w:before="120"/>
    </w:pPr>
    <w:r>
      <w:t>[4712</w:t>
    </w:r>
    <w:r w:rsidR="006F5DE3">
      <w:t>-</w:t>
    </w:r>
    <w:r w:rsidR="006F5DE3">
      <w:fldChar w:fldCharType="begin"/>
    </w:r>
    <w:r w:rsidR="006F5DE3">
      <w:instrText xml:space="preserve"> PAGE  \* MERGEFORMAT </w:instrText>
    </w:r>
    <w:r w:rsidR="006F5DE3">
      <w:fldChar w:fldCharType="separate"/>
    </w:r>
    <w:r w:rsidR="00380E6D">
      <w:rPr>
        <w:noProof/>
      </w:rPr>
      <w:t>1</w:t>
    </w:r>
    <w:r w:rsidR="006F5DE3">
      <w:fldChar w:fldCharType="end"/>
    </w:r>
    <w:r w:rsidR="006F5D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E3" w:rsidRPr="000D194C" w:rsidRDefault="006F5DE3" w:rsidP="000D194C">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380E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D9" w:rsidRDefault="00552FD9" w:rsidP="009F0C77">
      <w:r>
        <w:separator/>
      </w:r>
    </w:p>
  </w:footnote>
  <w:footnote w:type="continuationSeparator" w:id="0">
    <w:p w:rsidR="00552FD9" w:rsidRDefault="0055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0DG16"/>
    <w:docVar w:name="CoverBillType" w:val="b"/>
    <w:docVar w:name="docpath" w:val="L:\Council\bills\BBM\9420DG16.DOCX"/>
    <w:docVar w:name="dvBillNumber" w:val="4712"/>
    <w:docVar w:name="dvBillNumberPrefix" w:val="H. "/>
    <w:docVar w:name="dvOriginalBody" w:val="House"/>
    <w:docVar w:name="dvSteno" w:val="BBM"/>
    <w:docVar w:name="NameofBody" w:val="h"/>
    <w:docVar w:name="vgroup2" w:val="Council"/>
  </w:docVars>
  <w:rsids>
    <w:rsidRoot w:val="00552FD9"/>
    <w:rsid w:val="00011869"/>
    <w:rsid w:val="00015CD6"/>
    <w:rsid w:val="000B73E2"/>
    <w:rsid w:val="000D194C"/>
    <w:rsid w:val="000E1785"/>
    <w:rsid w:val="000F40FA"/>
    <w:rsid w:val="0010776B"/>
    <w:rsid w:val="00133E66"/>
    <w:rsid w:val="001435A3"/>
    <w:rsid w:val="00146EB2"/>
    <w:rsid w:val="00146ED3"/>
    <w:rsid w:val="00151044"/>
    <w:rsid w:val="001D08F2"/>
    <w:rsid w:val="001D0EBB"/>
    <w:rsid w:val="001D525B"/>
    <w:rsid w:val="001D7F4F"/>
    <w:rsid w:val="00205238"/>
    <w:rsid w:val="0023174F"/>
    <w:rsid w:val="002321B6"/>
    <w:rsid w:val="0024407E"/>
    <w:rsid w:val="00250967"/>
    <w:rsid w:val="002543C8"/>
    <w:rsid w:val="0025541D"/>
    <w:rsid w:val="00265670"/>
    <w:rsid w:val="00284AAE"/>
    <w:rsid w:val="002E5912"/>
    <w:rsid w:val="00301B21"/>
    <w:rsid w:val="0031471A"/>
    <w:rsid w:val="00325348"/>
    <w:rsid w:val="0032732C"/>
    <w:rsid w:val="00332B6A"/>
    <w:rsid w:val="00336AD0"/>
    <w:rsid w:val="0037079A"/>
    <w:rsid w:val="00380E6D"/>
    <w:rsid w:val="003C4DAB"/>
    <w:rsid w:val="003D01E8"/>
    <w:rsid w:val="003E5288"/>
    <w:rsid w:val="003F6D79"/>
    <w:rsid w:val="0041760A"/>
    <w:rsid w:val="00417C01"/>
    <w:rsid w:val="004403BD"/>
    <w:rsid w:val="00461441"/>
    <w:rsid w:val="004809EE"/>
    <w:rsid w:val="004B5D9C"/>
    <w:rsid w:val="004E7D54"/>
    <w:rsid w:val="005273C6"/>
    <w:rsid w:val="00530A69"/>
    <w:rsid w:val="00542537"/>
    <w:rsid w:val="00545593"/>
    <w:rsid w:val="00552FD9"/>
    <w:rsid w:val="00577C6C"/>
    <w:rsid w:val="005C2FE2"/>
    <w:rsid w:val="005E2BC9"/>
    <w:rsid w:val="00605102"/>
    <w:rsid w:val="006215AA"/>
    <w:rsid w:val="0064687D"/>
    <w:rsid w:val="006913C9"/>
    <w:rsid w:val="0069470D"/>
    <w:rsid w:val="006F5DE3"/>
    <w:rsid w:val="00734F00"/>
    <w:rsid w:val="007A70AE"/>
    <w:rsid w:val="007C7771"/>
    <w:rsid w:val="008362E8"/>
    <w:rsid w:val="00851D35"/>
    <w:rsid w:val="008A1768"/>
    <w:rsid w:val="008B68FC"/>
    <w:rsid w:val="008F0F33"/>
    <w:rsid w:val="008F4429"/>
    <w:rsid w:val="0094021A"/>
    <w:rsid w:val="00997232"/>
    <w:rsid w:val="009B0683"/>
    <w:rsid w:val="009B44AF"/>
    <w:rsid w:val="009C6A0B"/>
    <w:rsid w:val="009E277F"/>
    <w:rsid w:val="009F0C77"/>
    <w:rsid w:val="009F4DD1"/>
    <w:rsid w:val="00A41684"/>
    <w:rsid w:val="00A64E80"/>
    <w:rsid w:val="00A72BCD"/>
    <w:rsid w:val="00A741D9"/>
    <w:rsid w:val="00A833AB"/>
    <w:rsid w:val="00A9741D"/>
    <w:rsid w:val="00AB1869"/>
    <w:rsid w:val="00AD4B17"/>
    <w:rsid w:val="00AE4232"/>
    <w:rsid w:val="00B034C3"/>
    <w:rsid w:val="00B35568"/>
    <w:rsid w:val="00B412D4"/>
    <w:rsid w:val="00BE3C22"/>
    <w:rsid w:val="00C0345E"/>
    <w:rsid w:val="00C24583"/>
    <w:rsid w:val="00C3483A"/>
    <w:rsid w:val="00C74E9D"/>
    <w:rsid w:val="00C82FD3"/>
    <w:rsid w:val="00C92819"/>
    <w:rsid w:val="00CC6B7B"/>
    <w:rsid w:val="00CD2089"/>
    <w:rsid w:val="00D73A67"/>
    <w:rsid w:val="00D74C0E"/>
    <w:rsid w:val="00D970A9"/>
    <w:rsid w:val="00DB24CB"/>
    <w:rsid w:val="00DE0D4B"/>
    <w:rsid w:val="00DF3845"/>
    <w:rsid w:val="00E41911"/>
    <w:rsid w:val="00E4320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7BF9E-477C-44A1-A008-757E6EF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C77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6A"/>
    <w:rPr>
      <w:rFonts w:ascii="Segoe UI" w:eastAsia="Times New Roman" w:hAnsi="Segoe UI" w:cs="Segoe UI"/>
      <w:sz w:val="18"/>
      <w:szCs w:val="18"/>
    </w:rPr>
  </w:style>
  <w:style w:type="paragraph" w:styleId="NoSpacing">
    <w:name w:val="No Spacing"/>
    <w:uiPriority w:val="1"/>
    <w:qFormat/>
    <w:rsid w:val="007C7771"/>
    <w:pPr>
      <w:spacing w:after="0" w:line="240" w:lineRule="auto"/>
    </w:pPr>
    <w:rPr>
      <w:sz w:val="24"/>
    </w:rPr>
  </w:style>
  <w:style w:type="character" w:customStyle="1" w:styleId="Heading2Char">
    <w:name w:val="Heading 2 Char"/>
    <w:basedOn w:val="DefaultParagraphFont"/>
    <w:link w:val="Heading2"/>
    <w:uiPriority w:val="9"/>
    <w:rsid w:val="007C777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B01CD-4BD6-4B37-927A-78DC1272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5E75F134.dotm</Template>
  <TotalTime>0</TotalTime>
  <Pages>3</Pages>
  <Words>644</Words>
  <Characters>3430</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2015-2016 Bill 4712: Subject not yet available - South Carolina Legislature Online</vt:lpstr>
    </vt:vector>
  </TitlesOfParts>
  <Company>LPITS</Company>
  <LinksUpToDate>false</LinksUpToDate>
  <CharactersWithSpaces>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4712 Text of Previous Version (Apr. 11, 2016) - South Carolina Legislature Online</dc:title>
  <dc:creator>BRENDA MELTON</dc:creator>
  <cp:lastModifiedBy>Angela Hill</cp:lastModifiedBy>
  <cp:revision>2</cp:revision>
  <cp:lastPrinted>2016-02-24T21:42:00Z</cp:lastPrinted>
  <dcterms:created xsi:type="dcterms:W3CDTF">2016-04-11T19:59:00Z</dcterms:created>
  <dcterms:modified xsi:type="dcterms:W3CDTF">2016-04-11T19:59:00Z</dcterms:modified>
</cp:coreProperties>
</file>