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557" w:rsidRDefault="00CB0557" w:rsidP="00CB0557">
      <w:pPr>
        <w:widowControl w:val="0"/>
        <w:jc w:val="center"/>
      </w:pPr>
      <w:r w:rsidRPr="00CB0557">
        <w:rPr>
          <w:b/>
        </w:rPr>
        <w:t>South Carolina General Assembly</w:t>
      </w:r>
    </w:p>
    <w:p w:rsidR="00CB0557" w:rsidRDefault="00CB0557" w:rsidP="00CB0557">
      <w:pPr>
        <w:widowControl w:val="0"/>
        <w:jc w:val="center"/>
      </w:pPr>
      <w:r>
        <w:t>122nd Session, 2017-2018</w:t>
      </w:r>
    </w:p>
    <w:p w:rsidR="00CB0557" w:rsidRDefault="00CB0557" w:rsidP="00CB0557">
      <w:pPr>
        <w:widowControl w:val="0"/>
        <w:jc w:val="left"/>
      </w:pPr>
    </w:p>
    <w:p w:rsidR="00CB0557" w:rsidRDefault="00CB0557" w:rsidP="00CB0557">
      <w:pPr>
        <w:widowControl w:val="0"/>
        <w:jc w:val="left"/>
        <w:rPr>
          <w:b/>
        </w:rPr>
      </w:pPr>
      <w:r w:rsidRPr="00CB0557">
        <w:rPr>
          <w:b/>
        </w:rPr>
        <w:t>H. 3334</w:t>
      </w:r>
    </w:p>
    <w:p w:rsidR="00CB0557" w:rsidRDefault="00CB0557" w:rsidP="00CB0557">
      <w:pPr>
        <w:widowControl w:val="0"/>
        <w:jc w:val="left"/>
        <w:rPr>
          <w:b/>
        </w:rPr>
      </w:pPr>
    </w:p>
    <w:p w:rsidR="00CB0557" w:rsidRDefault="00CB0557" w:rsidP="00CB0557">
      <w:pPr>
        <w:widowControl w:val="0"/>
        <w:jc w:val="left"/>
      </w:pPr>
      <w:r w:rsidRPr="00CB0557">
        <w:rPr>
          <w:b/>
        </w:rPr>
        <w:t>STATUS INFORMATION</w:t>
      </w:r>
    </w:p>
    <w:p w:rsidR="00CB0557" w:rsidRDefault="00CB0557" w:rsidP="00CB0557">
      <w:pPr>
        <w:widowControl w:val="0"/>
        <w:jc w:val="left"/>
      </w:pPr>
    </w:p>
    <w:p w:rsidR="00CB0557" w:rsidRDefault="00CB0557" w:rsidP="00CB0557">
      <w:pPr>
        <w:widowControl w:val="0"/>
        <w:jc w:val="left"/>
      </w:pPr>
      <w:r>
        <w:t>General Bill</w:t>
      </w:r>
    </w:p>
    <w:p w:rsidR="00CB0557" w:rsidRDefault="00CB0557" w:rsidP="00CB0557">
      <w:pPr>
        <w:widowControl w:val="0"/>
        <w:jc w:val="left"/>
      </w:pPr>
      <w:r>
        <w:t>Sponsors: Reps. W. Newton, Herbkersman, Erickson and Bradley</w:t>
      </w:r>
    </w:p>
    <w:p w:rsidR="00CB0557" w:rsidRDefault="00CB0557" w:rsidP="00CB0557">
      <w:pPr>
        <w:widowControl w:val="0"/>
        <w:jc w:val="left"/>
      </w:pPr>
      <w:r>
        <w:t>Document Path: l:\council\bills\bh\7068ahb17.docx</w:t>
      </w:r>
    </w:p>
    <w:p w:rsidR="00CB0557" w:rsidRDefault="00CB0557" w:rsidP="00CB0557">
      <w:pPr>
        <w:widowControl w:val="0"/>
        <w:jc w:val="left"/>
      </w:pPr>
    </w:p>
    <w:p w:rsidR="004C12D2" w:rsidRDefault="004C12D2" w:rsidP="00CB0557">
      <w:pPr>
        <w:widowControl w:val="0"/>
        <w:jc w:val="left"/>
      </w:pPr>
      <w:r>
        <w:t>Introduced in the House on January 10, 2017</w:t>
      </w:r>
    </w:p>
    <w:p w:rsidR="004C12D2" w:rsidRPr="004C12D2" w:rsidRDefault="004C12D2" w:rsidP="00CB0557">
      <w:pPr>
        <w:widowControl w:val="0"/>
        <w:jc w:val="left"/>
      </w:pPr>
      <w:r>
        <w:t xml:space="preserve">Currently residing in the House Committee on </w:t>
      </w:r>
      <w:r w:rsidRPr="004C12D2">
        <w:rPr>
          <w:b/>
        </w:rPr>
        <w:t>Judiciary</w:t>
      </w:r>
    </w:p>
    <w:p w:rsidR="004C12D2" w:rsidRDefault="004C12D2" w:rsidP="00CB0557">
      <w:pPr>
        <w:widowControl w:val="0"/>
        <w:jc w:val="left"/>
      </w:pPr>
    </w:p>
    <w:p w:rsidR="00CB0557" w:rsidRDefault="00CB0557" w:rsidP="00CB0557">
      <w:pPr>
        <w:widowControl w:val="0"/>
        <w:jc w:val="left"/>
      </w:pPr>
      <w:r>
        <w:t xml:space="preserve">Summary: </w:t>
      </w:r>
      <w:r w:rsidR="00E53462">
        <w:t>Burglary</w:t>
      </w:r>
    </w:p>
    <w:p w:rsidR="00CB0557" w:rsidRDefault="00CB0557" w:rsidP="00CB0557">
      <w:pPr>
        <w:widowControl w:val="0"/>
        <w:jc w:val="left"/>
      </w:pPr>
    </w:p>
    <w:p w:rsidR="00CB0557" w:rsidRDefault="00CB0557" w:rsidP="00CB0557">
      <w:pPr>
        <w:widowControl w:val="0"/>
        <w:jc w:val="left"/>
      </w:pPr>
    </w:p>
    <w:p w:rsidR="00CB0557" w:rsidRDefault="00CB0557" w:rsidP="00CB0557">
      <w:pPr>
        <w:widowControl w:val="0"/>
        <w:tabs>
          <w:tab w:val="center" w:pos="590"/>
          <w:tab w:val="center" w:pos="1440"/>
          <w:tab w:val="left" w:pos="1872"/>
          <w:tab w:val="left" w:pos="9187"/>
        </w:tabs>
        <w:jc w:val="left"/>
      </w:pPr>
      <w:r w:rsidRPr="00CB0557">
        <w:rPr>
          <w:b/>
        </w:rPr>
        <w:t>HISTORY OF LEGISLATIVE ACTIONS</w:t>
      </w:r>
    </w:p>
    <w:p w:rsidR="00CB0557" w:rsidRDefault="00CB0557" w:rsidP="00CB0557">
      <w:pPr>
        <w:widowControl w:val="0"/>
        <w:tabs>
          <w:tab w:val="center" w:pos="590"/>
          <w:tab w:val="center" w:pos="1440"/>
          <w:tab w:val="left" w:pos="1872"/>
          <w:tab w:val="left" w:pos="9187"/>
        </w:tabs>
        <w:jc w:val="left"/>
      </w:pPr>
    </w:p>
    <w:p w:rsidR="00CB0557" w:rsidRPr="00CB0557" w:rsidRDefault="00CB0557" w:rsidP="00CB0557">
      <w:pPr>
        <w:widowControl w:val="0"/>
        <w:tabs>
          <w:tab w:val="center" w:pos="590"/>
          <w:tab w:val="center" w:pos="1440"/>
          <w:tab w:val="left" w:pos="1872"/>
          <w:tab w:val="left" w:pos="9187"/>
        </w:tabs>
        <w:jc w:val="left"/>
      </w:pPr>
      <w:r w:rsidRPr="00CB0557">
        <w:rPr>
          <w:u w:val="single"/>
        </w:rPr>
        <w:tab/>
        <w:t>Date</w:t>
      </w:r>
      <w:r w:rsidRPr="00CB0557">
        <w:rPr>
          <w:u w:val="single"/>
        </w:rPr>
        <w:tab/>
        <w:t>Body</w:t>
      </w:r>
      <w:r w:rsidRPr="00CB0557">
        <w:rPr>
          <w:u w:val="single"/>
        </w:rPr>
        <w:tab/>
        <w:t>Action Description with journal page number</w:t>
      </w:r>
      <w:r w:rsidRPr="00CB0557">
        <w:rPr>
          <w:u w:val="single"/>
        </w:rPr>
        <w:tab/>
      </w:r>
    </w:p>
    <w:p w:rsidR="00BE4FB5" w:rsidRDefault="00BE4FB5" w:rsidP="00BE4FB5">
      <w:pPr>
        <w:widowControl w:val="0"/>
        <w:tabs>
          <w:tab w:val="right" w:pos="1008"/>
          <w:tab w:val="left" w:pos="1152"/>
          <w:tab w:val="left" w:pos="1872"/>
          <w:tab w:val="left" w:pos="9187"/>
        </w:tabs>
        <w:ind w:left="2088" w:hanging="2088"/>
        <w:jc w:val="left"/>
      </w:pPr>
      <w:r>
        <w:tab/>
        <w:t>12/15/2016</w:t>
      </w:r>
      <w:r>
        <w:tab/>
        <w:t>House</w:t>
      </w:r>
      <w:r>
        <w:tab/>
      </w:r>
      <w:r w:rsidRPr="006570F4">
        <w:t>Prefiled</w:t>
      </w:r>
    </w:p>
    <w:p w:rsidR="00BE4FB5" w:rsidRDefault="00BE4FB5" w:rsidP="00BE4FB5">
      <w:pPr>
        <w:widowControl w:val="0"/>
        <w:tabs>
          <w:tab w:val="right" w:pos="1008"/>
          <w:tab w:val="left" w:pos="1152"/>
          <w:tab w:val="left" w:pos="1872"/>
          <w:tab w:val="left" w:pos="9187"/>
        </w:tabs>
        <w:ind w:left="2088" w:hanging="2088"/>
        <w:jc w:val="left"/>
      </w:pPr>
      <w:r>
        <w:tab/>
        <w:t>12/15/2016</w:t>
      </w:r>
      <w:r>
        <w:tab/>
        <w:t>House</w:t>
      </w:r>
      <w:r>
        <w:tab/>
      </w:r>
      <w:r w:rsidRPr="006570F4">
        <w:t xml:space="preserve">Referred to Committee on </w:t>
      </w:r>
      <w:r w:rsidRPr="006570F4">
        <w:rPr>
          <w:b/>
        </w:rPr>
        <w:t>Judiciary</w:t>
      </w:r>
    </w:p>
    <w:p w:rsidR="00BE4FB5" w:rsidRDefault="00BE4FB5" w:rsidP="00BE4FB5">
      <w:pPr>
        <w:widowControl w:val="0"/>
        <w:tabs>
          <w:tab w:val="right" w:pos="1008"/>
          <w:tab w:val="left" w:pos="1152"/>
          <w:tab w:val="left" w:pos="1872"/>
          <w:tab w:val="left" w:pos="9187"/>
        </w:tabs>
        <w:ind w:left="2088" w:hanging="2088"/>
        <w:jc w:val="left"/>
      </w:pPr>
      <w:r>
        <w:tab/>
        <w:t>1/10/2017</w:t>
      </w:r>
      <w:r>
        <w:tab/>
        <w:t>House</w:t>
      </w:r>
      <w:r>
        <w:tab/>
      </w:r>
      <w:r w:rsidRPr="006570F4">
        <w:t>Introduced and read first time (</w:t>
      </w:r>
      <w:hyperlink r:id="rId7" w:history="1">
        <w:r w:rsidRPr="006570F4">
          <w:rPr>
            <w:rStyle w:val="Hyperlink"/>
          </w:rPr>
          <w:t>House Journal</w:t>
        </w:r>
        <w:r w:rsidRPr="006570F4">
          <w:rPr>
            <w:rStyle w:val="Hyperlink"/>
          </w:rPr>
          <w:noBreakHyphen/>
          <w:t>page 165</w:t>
        </w:r>
      </w:hyperlink>
      <w:r w:rsidRPr="006570F4">
        <w:t>)</w:t>
      </w:r>
    </w:p>
    <w:p w:rsidR="00BE4FB5" w:rsidRDefault="00BE4FB5" w:rsidP="00BE4FB5">
      <w:pPr>
        <w:widowControl w:val="0"/>
        <w:tabs>
          <w:tab w:val="right" w:pos="1008"/>
          <w:tab w:val="left" w:pos="1152"/>
          <w:tab w:val="left" w:pos="1872"/>
          <w:tab w:val="left" w:pos="9187"/>
        </w:tabs>
        <w:ind w:left="2088" w:hanging="2088"/>
        <w:jc w:val="left"/>
      </w:pPr>
      <w:r>
        <w:tab/>
        <w:t>1/10/2017</w:t>
      </w:r>
      <w:r>
        <w:tab/>
        <w:t>House</w:t>
      </w:r>
      <w:r>
        <w:tab/>
      </w:r>
      <w:r w:rsidRPr="006570F4">
        <w:t>Ref</w:t>
      </w:r>
      <w:r>
        <w:t xml:space="preserve">erred to Committee on </w:t>
      </w:r>
      <w:r w:rsidRPr="006570F4">
        <w:rPr>
          <w:b/>
        </w:rPr>
        <w:t>Judiciary</w:t>
      </w:r>
      <w:r>
        <w:t xml:space="preserve"> </w:t>
      </w:r>
      <w:r w:rsidRPr="006570F4">
        <w:t>(</w:t>
      </w:r>
      <w:hyperlink r:id="rId8" w:history="1">
        <w:r w:rsidRPr="006570F4">
          <w:rPr>
            <w:rStyle w:val="Hyperlink"/>
          </w:rPr>
          <w:t>House Journal</w:t>
        </w:r>
        <w:r w:rsidRPr="006570F4">
          <w:rPr>
            <w:rStyle w:val="Hyperlink"/>
          </w:rPr>
          <w:noBreakHyphen/>
          <w:t>page 165</w:t>
        </w:r>
      </w:hyperlink>
      <w:r w:rsidRPr="006570F4">
        <w:t>)</w:t>
      </w:r>
    </w:p>
    <w:p w:rsidR="00BE4FB5" w:rsidRDefault="00BE4FB5" w:rsidP="00BE4FB5">
      <w:pPr>
        <w:widowControl w:val="0"/>
        <w:tabs>
          <w:tab w:val="right" w:pos="1008"/>
          <w:tab w:val="left" w:pos="1152"/>
          <w:tab w:val="left" w:pos="1872"/>
          <w:tab w:val="left" w:pos="9187"/>
        </w:tabs>
        <w:ind w:left="2088" w:hanging="2088"/>
        <w:jc w:val="left"/>
      </w:pPr>
    </w:p>
    <w:p w:rsidR="00CB0557" w:rsidRDefault="00CB0557" w:rsidP="00CB05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0557">
          <w:rPr>
            <w:rStyle w:val="Hyperlink"/>
          </w:rPr>
          <w:t>legislative information</w:t>
        </w:r>
      </w:hyperlink>
      <w:r>
        <w:t xml:space="preserve"> at the website</w:t>
      </w:r>
    </w:p>
    <w:p w:rsidR="00CB0557" w:rsidRDefault="00CB0557" w:rsidP="00CB0557">
      <w:pPr>
        <w:widowControl w:val="0"/>
        <w:tabs>
          <w:tab w:val="right" w:pos="1008"/>
          <w:tab w:val="left" w:pos="1152"/>
          <w:tab w:val="left" w:pos="1872"/>
          <w:tab w:val="left" w:pos="9187"/>
        </w:tabs>
        <w:ind w:left="2088" w:hanging="2088"/>
        <w:jc w:val="left"/>
      </w:pPr>
    </w:p>
    <w:p w:rsidR="00CB0557" w:rsidRPr="00CB0557" w:rsidRDefault="00CB0557" w:rsidP="00CB0557">
      <w:pPr>
        <w:widowControl w:val="0"/>
        <w:tabs>
          <w:tab w:val="right" w:pos="1008"/>
          <w:tab w:val="left" w:pos="1152"/>
          <w:tab w:val="left" w:pos="1872"/>
          <w:tab w:val="left" w:pos="9187"/>
        </w:tabs>
        <w:ind w:left="2088" w:hanging="2088"/>
        <w:jc w:val="left"/>
      </w:pPr>
    </w:p>
    <w:p w:rsidR="00CB0557" w:rsidRDefault="00CB0557" w:rsidP="00CB0557">
      <w:pPr>
        <w:widowControl w:val="0"/>
        <w:jc w:val="left"/>
      </w:pPr>
      <w:r w:rsidRPr="00CB0557">
        <w:rPr>
          <w:b/>
        </w:rPr>
        <w:t>VERSIONS OF THIS BILL</w:t>
      </w:r>
    </w:p>
    <w:p w:rsidR="00CB0557" w:rsidRDefault="00CB0557" w:rsidP="00CB0557">
      <w:pPr>
        <w:widowControl w:val="0"/>
        <w:jc w:val="left"/>
      </w:pPr>
    </w:p>
    <w:p w:rsidR="00CB0557" w:rsidRDefault="0008254D" w:rsidP="00CB0557">
      <w:pPr>
        <w:widowControl w:val="0"/>
        <w:jc w:val="left"/>
      </w:pPr>
      <w:hyperlink r:id="rId10" w:history="1">
        <w:r w:rsidR="00CB0557">
          <w:rPr>
            <w:rStyle w:val="Hyperlink"/>
          </w:rPr>
          <w:t>12/15/2016</w:t>
        </w:r>
      </w:hyperlink>
    </w:p>
    <w:p w:rsidR="00CB0557" w:rsidRDefault="00CB0557" w:rsidP="00CB0557"/>
    <w:p w:rsidR="00CB0557" w:rsidRDefault="00CB0557" w:rsidP="00CB0557">
      <w:pPr>
        <w:sectPr w:rsidR="00CB0557" w:rsidSect="00CB0557">
          <w:pgSz w:w="12240" w:h="15840" w:code="1"/>
          <w:pgMar w:top="1080" w:right="1440" w:bottom="1080" w:left="1440" w:header="720" w:footer="720" w:gutter="0"/>
          <w:cols w:space="720"/>
          <w:noEndnote/>
          <w:docGrid w:linePitch="360"/>
        </w:sectPr>
      </w:pPr>
    </w:p>
    <w:p w:rsidR="000150C8" w:rsidRDefault="000150C8"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F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64" w:rsidRPr="00393D53"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3D53">
        <w:rPr>
          <w:color w:val="000000" w:themeColor="text1"/>
          <w:u w:color="000000" w:themeColor="text1"/>
        </w:rPr>
        <w:t>TO AMEND SECTION 16</w:t>
      </w:r>
      <w:r w:rsidR="00DE40E4">
        <w:rPr>
          <w:color w:val="000000" w:themeColor="text1"/>
          <w:u w:color="000000" w:themeColor="text1"/>
        </w:rPr>
        <w:noBreakHyphen/>
      </w:r>
      <w:r w:rsidRPr="00393D53">
        <w:rPr>
          <w:color w:val="000000" w:themeColor="text1"/>
          <w:u w:color="000000" w:themeColor="text1"/>
        </w:rPr>
        <w:t>11</w:t>
      </w:r>
      <w:r w:rsidR="00DE40E4">
        <w:rPr>
          <w:color w:val="000000" w:themeColor="text1"/>
          <w:u w:color="000000" w:themeColor="text1"/>
        </w:rPr>
        <w:noBreakHyphen/>
      </w:r>
      <w:r w:rsidRPr="00393D53">
        <w:rPr>
          <w:color w:val="000000" w:themeColor="text1"/>
          <w:u w:color="000000" w:themeColor="text1"/>
        </w:rPr>
        <w:t>311, CODE OF LAWS OF SOUTH CAROLINA, 1976, RELATING TO BURGLARY IN THE FIRST DEGREE, SO AS TO INCLUDE IN THE PURVIEW OF THE OFFENSE ENTERING A DWELLING WITHOUT CONSENT AND WITH INTENT TO COMMIT A CRIME IN THE DWELLING WHEN THE ENTERING OR REMAINING OCCURS DURING THE TIME PERIOD FOR WHICH AN EVACUATION IS ORDERED OR TWENTY</w:t>
      </w:r>
      <w:r w:rsidR="00DE40E4">
        <w:rPr>
          <w:color w:val="000000" w:themeColor="text1"/>
          <w:u w:color="000000" w:themeColor="text1"/>
        </w:rPr>
        <w:noBreakHyphen/>
      </w:r>
      <w:r w:rsidRPr="00393D53">
        <w:rPr>
          <w:color w:val="000000" w:themeColor="text1"/>
          <w:u w:color="000000" w:themeColor="text1"/>
        </w:rPr>
        <w:t>FOUR HOURS AFTER AN EVACUATION ORDER HAS BEEN LIFTED.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864">
        <w:t>Section 16</w:t>
      </w:r>
      <w:r w:rsidR="00DE40E4">
        <w:noBreakHyphen/>
      </w:r>
      <w:r w:rsidR="00F37864">
        <w:t>11</w:t>
      </w:r>
      <w:r w:rsidR="00DE40E4">
        <w:noBreakHyphen/>
      </w:r>
      <w:r w:rsidR="00F37864">
        <w:t>311 of the 1976 Code is amended to read:</w:t>
      </w:r>
    </w:p>
    <w:p w:rsidR="00F37864" w:rsidRDefault="00F3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DE40E4">
        <w:noBreakHyphen/>
      </w:r>
      <w:r>
        <w:t>11</w:t>
      </w:r>
      <w:r w:rsidR="00DE40E4">
        <w:noBreakHyphen/>
      </w:r>
      <w:r>
        <w:t>311.</w:t>
      </w:r>
      <w:r>
        <w:tab/>
      </w:r>
      <w:r w:rsidRPr="00C27CE0">
        <w:rPr>
          <w:color w:val="000000" w:themeColor="text1"/>
          <w:u w:color="000000" w:themeColor="text1"/>
        </w:rPr>
        <w:t>(A)</w:t>
      </w:r>
      <w:r>
        <w:rPr>
          <w:color w:val="000000" w:themeColor="text1"/>
          <w:u w:color="000000" w:themeColor="text1"/>
        </w:rPr>
        <w:tab/>
      </w:r>
      <w:r w:rsidRPr="00C27CE0">
        <w:rPr>
          <w:color w:val="000000" w:themeColor="text1"/>
          <w:u w:color="000000" w:themeColor="text1"/>
        </w:rPr>
        <w:t>A person is guilty of burglary in the first degree if the person enters a dwelling without consent and with intent to commit a crime in the dwelling, and either: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t>(1)</w:t>
      </w:r>
      <w:r>
        <w:rPr>
          <w:color w:val="000000" w:themeColor="text1"/>
          <w:u w:color="000000" w:themeColor="text1"/>
        </w:rPr>
        <w:tab/>
      </w:r>
      <w:r w:rsidRPr="00C27CE0">
        <w:rPr>
          <w:color w:val="000000" w:themeColor="text1"/>
          <w:u w:color="000000" w:themeColor="text1"/>
        </w:rPr>
        <w:t>when, in effecting entry or while in the dwelling or in immediate flight, he or another participant in the crime:</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(a)</w:t>
      </w:r>
      <w:r>
        <w:rPr>
          <w:color w:val="000000" w:themeColor="text1"/>
          <w:u w:color="000000" w:themeColor="text1"/>
        </w:rPr>
        <w:tab/>
      </w:r>
      <w:r w:rsidRPr="00C27CE0">
        <w:rPr>
          <w:color w:val="000000" w:themeColor="text1"/>
          <w:u w:color="000000" w:themeColor="text1"/>
        </w:rPr>
        <w:t>is armed with a deadly weapon or explosive; 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(b)</w:t>
      </w:r>
      <w:r>
        <w:rPr>
          <w:color w:val="000000" w:themeColor="text1"/>
          <w:u w:color="000000" w:themeColor="text1"/>
        </w:rPr>
        <w:tab/>
      </w:r>
      <w:r w:rsidRPr="00C27CE0">
        <w:rPr>
          <w:color w:val="000000" w:themeColor="text1"/>
          <w:u w:color="000000" w:themeColor="text1"/>
        </w:rPr>
        <w:t>causes physical injury to a person who is not a participant in the crime; 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(c)</w:t>
      </w:r>
      <w:r>
        <w:rPr>
          <w:color w:val="000000" w:themeColor="text1"/>
          <w:u w:color="000000" w:themeColor="text1"/>
        </w:rPr>
        <w:tab/>
      </w:r>
      <w:r w:rsidRPr="00C27CE0">
        <w:rPr>
          <w:color w:val="000000" w:themeColor="text1"/>
          <w:u w:color="000000" w:themeColor="text1"/>
        </w:rPr>
        <w:t>uses or threatens the use of a dangerous instrument; 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(d)</w:t>
      </w:r>
      <w:r>
        <w:rPr>
          <w:color w:val="000000" w:themeColor="text1"/>
          <w:u w:color="000000" w:themeColor="text1"/>
        </w:rPr>
        <w:tab/>
      </w:r>
      <w:r w:rsidRPr="00C27CE0">
        <w:rPr>
          <w:color w:val="000000" w:themeColor="text1"/>
          <w:u w:color="000000" w:themeColor="text1"/>
        </w:rPr>
        <w:t xml:space="preserve">displays what is or appears to be a knife, pistol, revolver, rifle, shotgun, machine gun, or other firearm; </w:t>
      </w:r>
      <w:r w:rsidRPr="00F37864">
        <w:rPr>
          <w:strike/>
          <w:color w:val="000000" w:themeColor="text1"/>
          <w:u w:color="000000" w:themeColor="text1"/>
        </w:rPr>
        <w:t>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t>(2)</w:t>
      </w:r>
      <w:r>
        <w:rPr>
          <w:color w:val="000000" w:themeColor="text1"/>
          <w:u w:color="000000" w:themeColor="text1"/>
        </w:rPr>
        <w:tab/>
      </w:r>
      <w:r w:rsidRPr="00C27CE0">
        <w:rPr>
          <w:color w:val="000000" w:themeColor="text1"/>
          <w:u w:color="000000" w:themeColor="text1"/>
        </w:rPr>
        <w:t xml:space="preserve">the burglary is committed by a person with a prior record of two or more convictions for burglary or housebreaking or a combination of both; </w:t>
      </w:r>
      <w:r w:rsidRPr="00F37864">
        <w:rPr>
          <w:strike/>
          <w:color w:val="000000" w:themeColor="text1"/>
          <w:u w:color="000000" w:themeColor="text1"/>
        </w:rPr>
        <w:t>or</w:t>
      </w:r>
    </w:p>
    <w:p w:rsidR="00F37864"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CE0">
        <w:rPr>
          <w:color w:val="000000" w:themeColor="text1"/>
          <w:u w:color="000000" w:themeColor="text1"/>
        </w:rPr>
        <w:tab/>
      </w:r>
      <w:r w:rsidRPr="00C27CE0">
        <w:rPr>
          <w:color w:val="000000" w:themeColor="text1"/>
          <w:u w:color="000000" w:themeColor="text1"/>
        </w:rPr>
        <w:tab/>
        <w:t>(3)</w:t>
      </w:r>
      <w:r>
        <w:rPr>
          <w:color w:val="000000" w:themeColor="text1"/>
          <w:u w:color="000000" w:themeColor="text1"/>
        </w:rPr>
        <w:tab/>
      </w:r>
      <w:r w:rsidRPr="00C27CE0">
        <w:rPr>
          <w:color w:val="000000" w:themeColor="text1"/>
          <w:u w:color="000000" w:themeColor="text1"/>
        </w:rPr>
        <w:t>the entering or remaining occurs in the nighttime</w:t>
      </w:r>
      <w:r>
        <w:rPr>
          <w:color w:val="000000" w:themeColor="text1"/>
          <w:u w:val="single" w:color="000000" w:themeColor="text1"/>
        </w:rPr>
        <w:t>; or</w:t>
      </w:r>
    </w:p>
    <w:p w:rsidR="00F37864" w:rsidRPr="00C27CE0" w:rsidRDefault="00DE40E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0E4">
        <w:rPr>
          <w:color w:val="000000" w:themeColor="text1"/>
          <w:u w:color="000000" w:themeColor="text1"/>
        </w:rPr>
        <w:lastRenderedPageBreak/>
        <w:tab/>
      </w:r>
      <w:r w:rsidRPr="00DE40E4">
        <w:rPr>
          <w:color w:val="000000" w:themeColor="text1"/>
          <w:u w:color="000000" w:themeColor="text1"/>
        </w:rPr>
        <w:tab/>
      </w:r>
      <w:r w:rsidR="00F37864">
        <w:rPr>
          <w:color w:val="000000" w:themeColor="text1"/>
          <w:u w:val="single" w:color="000000" w:themeColor="text1"/>
        </w:rPr>
        <w:t>(4)</w:t>
      </w:r>
      <w:r w:rsidRPr="00DE40E4">
        <w:rPr>
          <w:color w:val="000000" w:themeColor="text1"/>
          <w:u w:color="000000" w:themeColor="text1"/>
        </w:rPr>
        <w:tab/>
      </w:r>
      <w:r w:rsidR="00F37864">
        <w:rPr>
          <w:color w:val="000000" w:themeColor="text1"/>
          <w:u w:val="single" w:color="000000" w:themeColor="text1"/>
        </w:rPr>
        <w:t>the entering or remaining occurs during the time period for which an evacuation has been ordered or twenty</w:t>
      </w:r>
      <w:r>
        <w:rPr>
          <w:color w:val="000000" w:themeColor="text1"/>
          <w:u w:val="single" w:color="000000" w:themeColor="text1"/>
        </w:rPr>
        <w:noBreakHyphen/>
      </w:r>
      <w:r w:rsidR="00F37864">
        <w:rPr>
          <w:color w:val="000000" w:themeColor="text1"/>
          <w:u w:val="single" w:color="000000" w:themeColor="text1"/>
        </w:rPr>
        <w:t>four hours after an evacuation order has been lifted</w:t>
      </w:r>
      <w:r w:rsidR="00F37864" w:rsidRPr="00C27CE0">
        <w:rPr>
          <w:color w:val="000000" w:themeColor="text1"/>
          <w:u w:color="000000" w:themeColor="text1"/>
        </w:rPr>
        <w:t>.</w:t>
      </w:r>
    </w:p>
    <w:p w:rsidR="00F37864"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t>(B)</w:t>
      </w:r>
      <w:r>
        <w:rPr>
          <w:color w:val="000000" w:themeColor="text1"/>
          <w:u w:color="000000" w:themeColor="text1"/>
        </w:rPr>
        <w:tab/>
      </w:r>
      <w:r w:rsidRPr="00C27CE0">
        <w:rPr>
          <w:color w:val="000000" w:themeColor="text1"/>
          <w:u w:color="000000" w:themeColor="text1"/>
        </w:rPr>
        <w:t xml:space="preserve">Burglary in the first degree is a felony punishable by life imprisonment. For purposes of this section, </w:t>
      </w:r>
      <w:r w:rsidR="00DE40E4" w:rsidRPr="00DE40E4">
        <w:rPr>
          <w:color w:val="000000" w:themeColor="text1"/>
          <w:u w:color="000000" w:themeColor="text1"/>
        </w:rPr>
        <w:t>‘</w:t>
      </w:r>
      <w:r w:rsidRPr="00C27CE0">
        <w:rPr>
          <w:color w:val="000000" w:themeColor="text1"/>
          <w:u w:color="000000" w:themeColor="text1"/>
        </w:rPr>
        <w:t>life</w:t>
      </w:r>
      <w:r w:rsidR="00DE40E4" w:rsidRPr="00DE40E4">
        <w:rPr>
          <w:color w:val="000000" w:themeColor="text1"/>
          <w:u w:color="000000" w:themeColor="text1"/>
        </w:rPr>
        <w:t>’</w:t>
      </w:r>
      <w:r w:rsidRPr="00C27CE0">
        <w:rPr>
          <w:color w:val="000000" w:themeColor="text1"/>
          <w:u w:color="000000" w:themeColor="text1"/>
        </w:rPr>
        <w:t xml:space="preserve"> means until death. The court, in its discretion, may sentence the defendant to a term of not less than fifteen years.</w:t>
      </w:r>
      <w:r>
        <w:rPr>
          <w:color w:val="000000" w:themeColor="text1"/>
          <w:u w:color="000000" w:themeColor="text1"/>
        </w:rPr>
        <w:t>”</w:t>
      </w:r>
    </w:p>
    <w:p w:rsidR="00CF067E" w:rsidRDefault="00CF067E"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67E" w:rsidRDefault="00CF067E"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067E" w:rsidRDefault="00CF067E"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67E">
        <w:t>3</w:t>
      </w:r>
      <w:r>
        <w:t>.</w:t>
      </w:r>
      <w:r>
        <w:tab/>
        <w:t>This act takes effect upon approval by the Governor.</w:t>
      </w:r>
    </w:p>
    <w:p w:rsidR="00C47AF6" w:rsidRDefault="00DE40E4" w:rsidP="006A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557" w:rsidRDefault="00CB0557" w:rsidP="00CB0557">
      <w:pPr>
        <w:suppressAutoHyphens/>
      </w:pPr>
    </w:p>
    <w:sectPr w:rsidR="00CB0557" w:rsidSect="00CB05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F3C" w:rsidRDefault="00147F3C" w:rsidP="009F0C77">
      <w:r>
        <w:separator/>
      </w:r>
    </w:p>
  </w:endnote>
  <w:endnote w:type="continuationSeparator" w:id="0">
    <w:p w:rsidR="00147F3C" w:rsidRDefault="00147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B8246C-1958-4EA1-B4F3-2957E39F1D8E}"/>
    <w:embedBold r:id="rId2" w:fontKey="{C90AF244-AC0E-4494-BD22-E3C6A872C576}"/>
  </w:font>
  <w:font w:name="Calibri">
    <w:panose1 w:val="020F0502020204030204"/>
    <w:charset w:val="00"/>
    <w:family w:val="swiss"/>
    <w:pitch w:val="variable"/>
    <w:sig w:usb0="E00002FF" w:usb1="4000ACFF" w:usb2="00000001" w:usb3="00000000" w:csb0="0000019F" w:csb1="00000000"/>
    <w:embedRegular r:id="rId3" w:fontKey="{AB5C191C-E11F-4F02-A0F5-8BF152310645}"/>
  </w:font>
  <w:font w:name="Segoe UI">
    <w:panose1 w:val="020B0502040204020203"/>
    <w:charset w:val="00"/>
    <w:family w:val="swiss"/>
    <w:pitch w:val="variable"/>
    <w:sig w:usb0="E10022FF" w:usb1="C000E47F" w:usb2="00000029" w:usb3="00000000" w:csb0="000001DF" w:csb1="00000000"/>
    <w:embedRegular r:id="rId4" w:fontKey="{AAAEBCD6-F2EC-489E-BFDE-21D9A9373571}"/>
  </w:font>
  <w:font w:name="Cambria">
    <w:panose1 w:val="02040503050406030204"/>
    <w:charset w:val="00"/>
    <w:family w:val="roman"/>
    <w:pitch w:val="variable"/>
    <w:sig w:usb0="E00002FF" w:usb1="400004FF" w:usb2="00000000" w:usb3="00000000" w:csb0="0000019F" w:csb1="00000000"/>
    <w:embedRegular r:id="rId5" w:fontKey="{A80AD8B4-CD26-4984-B6DE-061DC0E3C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57" w:rsidRPr="000150C8" w:rsidRDefault="00CB0557" w:rsidP="000150C8">
    <w:pPr>
      <w:pStyle w:val="Footer"/>
      <w:tabs>
        <w:tab w:val="clear" w:pos="4680"/>
        <w:tab w:val="clear" w:pos="9360"/>
        <w:tab w:val="center" w:pos="2995"/>
      </w:tabs>
      <w:spacing w:before="120"/>
    </w:pPr>
    <w:r>
      <w:t>[3334]</w:t>
    </w:r>
    <w:r>
      <w:tab/>
    </w:r>
    <w:r>
      <w:fldChar w:fldCharType="begin"/>
    </w:r>
    <w:r>
      <w:instrText xml:space="preserve"> PAGE  \* MERGEFORMAT </w:instrText>
    </w:r>
    <w:r>
      <w:fldChar w:fldCharType="separate"/>
    </w:r>
    <w:r w:rsidR="00BE4F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F3C" w:rsidRDefault="00147F3C" w:rsidP="009F0C77">
      <w:r>
        <w:separator/>
      </w:r>
    </w:p>
  </w:footnote>
  <w:footnote w:type="continuationSeparator" w:id="0">
    <w:p w:rsidR="00147F3C" w:rsidRDefault="00147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8AHB17"/>
    <w:docVar w:name="CoverBillType" w:val="b"/>
    <w:docVar w:name="DocPath" w:val="L:\Council\bills\BH\7068AHB17.DOCX"/>
    <w:docVar w:name="dvBillNumber" w:val="3334"/>
    <w:docVar w:name="dvBillNumberPrefix" w:val="H. "/>
    <w:docVar w:name="dvOriginalBody" w:val="House"/>
    <w:docVar w:name="dvSteno" w:val="BH"/>
    <w:docVar w:name="NameofBody" w:val="h"/>
    <w:docVar w:name="vGroup2" w:val="Council"/>
  </w:docVars>
  <w:rsids>
    <w:rsidRoot w:val="00147F3C"/>
    <w:rsid w:val="00011869"/>
    <w:rsid w:val="000150C8"/>
    <w:rsid w:val="00015CD6"/>
    <w:rsid w:val="000E0100"/>
    <w:rsid w:val="000E1785"/>
    <w:rsid w:val="000F40FA"/>
    <w:rsid w:val="001035F1"/>
    <w:rsid w:val="0010776B"/>
    <w:rsid w:val="00133E66"/>
    <w:rsid w:val="001435A3"/>
    <w:rsid w:val="00146ED3"/>
    <w:rsid w:val="00147F3C"/>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197"/>
    <w:rsid w:val="004403BD"/>
    <w:rsid w:val="0044147C"/>
    <w:rsid w:val="00461441"/>
    <w:rsid w:val="004809EE"/>
    <w:rsid w:val="004C12D2"/>
    <w:rsid w:val="004E7D54"/>
    <w:rsid w:val="005273C6"/>
    <w:rsid w:val="00530A69"/>
    <w:rsid w:val="00545593"/>
    <w:rsid w:val="00556EBF"/>
    <w:rsid w:val="00577C6C"/>
    <w:rsid w:val="005A62FE"/>
    <w:rsid w:val="005C2FE2"/>
    <w:rsid w:val="005E2BC9"/>
    <w:rsid w:val="00605102"/>
    <w:rsid w:val="006215AA"/>
    <w:rsid w:val="006913C9"/>
    <w:rsid w:val="0069470D"/>
    <w:rsid w:val="006A304D"/>
    <w:rsid w:val="006D58AA"/>
    <w:rsid w:val="00734F00"/>
    <w:rsid w:val="007A70AE"/>
    <w:rsid w:val="007B67B2"/>
    <w:rsid w:val="008362E8"/>
    <w:rsid w:val="0085786E"/>
    <w:rsid w:val="008A1768"/>
    <w:rsid w:val="008A489F"/>
    <w:rsid w:val="008F0F33"/>
    <w:rsid w:val="008F4429"/>
    <w:rsid w:val="0094021A"/>
    <w:rsid w:val="00957072"/>
    <w:rsid w:val="009B44AF"/>
    <w:rsid w:val="009C6A0B"/>
    <w:rsid w:val="009F0C77"/>
    <w:rsid w:val="009F4DD1"/>
    <w:rsid w:val="00A02543"/>
    <w:rsid w:val="00A27FF4"/>
    <w:rsid w:val="00A41684"/>
    <w:rsid w:val="00A64E80"/>
    <w:rsid w:val="00A72BCD"/>
    <w:rsid w:val="00A741D9"/>
    <w:rsid w:val="00A833AB"/>
    <w:rsid w:val="00A9741D"/>
    <w:rsid w:val="00AC34A2"/>
    <w:rsid w:val="00AD1C9A"/>
    <w:rsid w:val="00AD4B17"/>
    <w:rsid w:val="00B412D4"/>
    <w:rsid w:val="00BE3C22"/>
    <w:rsid w:val="00BE4FB5"/>
    <w:rsid w:val="00C0345E"/>
    <w:rsid w:val="00C31C95"/>
    <w:rsid w:val="00C3483A"/>
    <w:rsid w:val="00C401E4"/>
    <w:rsid w:val="00C47AF6"/>
    <w:rsid w:val="00C74E9D"/>
    <w:rsid w:val="00C826DD"/>
    <w:rsid w:val="00C82FD3"/>
    <w:rsid w:val="00C92819"/>
    <w:rsid w:val="00CB0557"/>
    <w:rsid w:val="00CC6B7B"/>
    <w:rsid w:val="00CD2089"/>
    <w:rsid w:val="00CF067E"/>
    <w:rsid w:val="00D73A67"/>
    <w:rsid w:val="00D970A9"/>
    <w:rsid w:val="00DE2F5D"/>
    <w:rsid w:val="00DE40E4"/>
    <w:rsid w:val="00DF3845"/>
    <w:rsid w:val="00E41911"/>
    <w:rsid w:val="00E44B57"/>
    <w:rsid w:val="00E53462"/>
    <w:rsid w:val="00E92EEF"/>
    <w:rsid w:val="00EF2368"/>
    <w:rsid w:val="00F24442"/>
    <w:rsid w:val="00F378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C504A-A888-420E-9B7C-9B463222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0E4"/>
    <w:rPr>
      <w:rFonts w:ascii="Segoe UI" w:eastAsia="Times New Roman" w:hAnsi="Segoe UI" w:cs="Segoe UI"/>
      <w:sz w:val="18"/>
      <w:szCs w:val="18"/>
    </w:rPr>
  </w:style>
  <w:style w:type="character" w:styleId="Hyperlink">
    <w:name w:val="Hyperlink"/>
    <w:basedOn w:val="DefaultParagraphFont"/>
    <w:uiPriority w:val="99"/>
    <w:unhideWhenUsed/>
    <w:rsid w:val="00CB0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3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16151-95A3-42D6-A39F-E182CCA1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3334: Burglary - South Carolina Legislature Online</dc:title>
  <dc:creator>%USERNAME%</dc:creator>
  <cp:lastModifiedBy>S Volk</cp:lastModifiedBy>
  <cp:revision>2</cp:revision>
  <cp:lastPrinted>2016-12-14T20:49:00Z</cp:lastPrinted>
  <dcterms:created xsi:type="dcterms:W3CDTF">2017-01-17T15:04:00Z</dcterms:created>
  <dcterms:modified xsi:type="dcterms:W3CDTF">2017-01-17T15:04:00Z</dcterms:modified>
</cp:coreProperties>
</file>