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67BF">
        <w:rPr>
          <w:rFonts w:eastAsia="Times New Roman" w:cs="Times New Roman"/>
          <w:b/>
          <w:szCs w:val="20"/>
        </w:rPr>
        <w:t>South Carolina General Assembly</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67BF">
        <w:rPr>
          <w:rFonts w:eastAsia="Times New Roman" w:cs="Times New Roman"/>
          <w:szCs w:val="20"/>
        </w:rPr>
        <w:t>122nd Session, 2017-2018</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847270"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R184, H4655</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b/>
          <w:szCs w:val="20"/>
        </w:rPr>
        <w:t>STATUS INFORMATION</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szCs w:val="20"/>
        </w:rPr>
        <w:t>General Bill</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szCs w:val="20"/>
        </w:rPr>
        <w:t>Sponsors: Reps. Sandifer and Spires</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szCs w:val="20"/>
        </w:rPr>
        <w:t>Document Path: l:\council\bills\nbd\11202cz18.docx</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szCs w:val="20"/>
        </w:rPr>
        <w:t>Companion/Similar bill(s): 856</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2018</w:t>
      </w: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2018</w:t>
      </w: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6, 2018</w:t>
      </w: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2018</w:t>
      </w: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6B72C8" w:rsidRDefault="006B72C8"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szCs w:val="20"/>
        </w:rPr>
        <w:t>Summary: SC Insurance Data Security Act</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3567BF" w:rsidP="003567BF">
      <w:pPr>
        <w:widowControl w:val="0"/>
        <w:tabs>
          <w:tab w:val="center" w:pos="590"/>
          <w:tab w:val="center" w:pos="1440"/>
          <w:tab w:val="left" w:pos="1872"/>
          <w:tab w:val="left" w:pos="9187"/>
        </w:tabs>
        <w:rPr>
          <w:rFonts w:eastAsia="Times New Roman" w:cs="Times New Roman"/>
          <w:szCs w:val="20"/>
        </w:rPr>
      </w:pPr>
      <w:r w:rsidRPr="003567BF">
        <w:rPr>
          <w:rFonts w:eastAsia="Times New Roman" w:cs="Times New Roman"/>
          <w:b/>
          <w:szCs w:val="20"/>
        </w:rPr>
        <w:t>HISTORY OF LEGISLATIVE ACTIONS</w:t>
      </w:r>
    </w:p>
    <w:p w:rsidR="003567BF" w:rsidRPr="003567BF" w:rsidRDefault="003567BF" w:rsidP="003567BF">
      <w:pPr>
        <w:widowControl w:val="0"/>
        <w:tabs>
          <w:tab w:val="center" w:pos="590"/>
          <w:tab w:val="center" w:pos="1440"/>
          <w:tab w:val="left" w:pos="1872"/>
          <w:tab w:val="left" w:pos="9187"/>
        </w:tabs>
        <w:rPr>
          <w:rFonts w:eastAsia="Times New Roman" w:cs="Times New Roman"/>
          <w:szCs w:val="20"/>
        </w:rPr>
      </w:pPr>
    </w:p>
    <w:p w:rsidR="003567BF" w:rsidRPr="003567BF" w:rsidRDefault="003567BF" w:rsidP="003567BF">
      <w:pPr>
        <w:widowControl w:val="0"/>
        <w:tabs>
          <w:tab w:val="center" w:pos="590"/>
          <w:tab w:val="center" w:pos="1440"/>
          <w:tab w:val="left" w:pos="1872"/>
          <w:tab w:val="left" w:pos="9187"/>
        </w:tabs>
        <w:rPr>
          <w:rFonts w:eastAsia="Times New Roman" w:cs="Times New Roman"/>
          <w:szCs w:val="20"/>
        </w:rPr>
      </w:pPr>
      <w:r w:rsidRPr="003567BF">
        <w:rPr>
          <w:rFonts w:eastAsia="Times New Roman" w:cs="Times New Roman"/>
          <w:szCs w:val="20"/>
          <w:u w:val="single"/>
        </w:rPr>
        <w:tab/>
        <w:t>Date</w:t>
      </w:r>
      <w:r w:rsidRPr="003567BF">
        <w:rPr>
          <w:rFonts w:eastAsia="Times New Roman" w:cs="Times New Roman"/>
          <w:szCs w:val="20"/>
          <w:u w:val="single"/>
        </w:rPr>
        <w:tab/>
        <w:t>Body</w:t>
      </w:r>
      <w:r w:rsidRPr="003567BF">
        <w:rPr>
          <w:rFonts w:eastAsia="Times New Roman" w:cs="Times New Roman"/>
          <w:szCs w:val="20"/>
          <w:u w:val="single"/>
        </w:rPr>
        <w:tab/>
        <w:t>Action Description with journal page number</w:t>
      </w:r>
      <w:r w:rsidRPr="003567BF">
        <w:rPr>
          <w:rFonts w:eastAsia="Times New Roman" w:cs="Times New Roman"/>
          <w:szCs w:val="20"/>
          <w:u w:val="single"/>
        </w:rPr>
        <w:tab/>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A40763">
        <w:rPr>
          <w:rFonts w:cs="Times New Roman"/>
        </w:rPr>
        <w:t>Introduced and read first time (</w:t>
      </w:r>
      <w:hyperlink r:id="rId7" w:history="1">
        <w:r w:rsidRPr="00A40763">
          <w:rPr>
            <w:rStyle w:val="Hyperlink"/>
            <w:rFonts w:cs="Times New Roman"/>
          </w:rPr>
          <w:t>House Journal</w:t>
        </w:r>
        <w:r w:rsidRPr="00A40763">
          <w:rPr>
            <w:rStyle w:val="Hyperlink"/>
            <w:rFonts w:cs="Times New Roman"/>
          </w:rPr>
          <w:noBreakHyphen/>
          <w:t>page 29</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A40763">
        <w:rPr>
          <w:rFonts w:cs="Times New Roman"/>
        </w:rPr>
        <w:t>Referred to C</w:t>
      </w:r>
      <w:r>
        <w:rPr>
          <w:rFonts w:cs="Times New Roman"/>
        </w:rPr>
        <w:t xml:space="preserve">ommittee on </w:t>
      </w:r>
      <w:r w:rsidRPr="00A40763">
        <w:rPr>
          <w:rFonts w:cs="Times New Roman"/>
          <w:b/>
        </w:rPr>
        <w:t>Labor, Commerce and Industry</w:t>
      </w:r>
      <w:r w:rsidRPr="00A40763">
        <w:rPr>
          <w:rFonts w:cs="Times New Roman"/>
        </w:rPr>
        <w:t xml:space="preserve"> (</w:t>
      </w:r>
      <w:hyperlink r:id="rId8" w:history="1">
        <w:r w:rsidRPr="00A40763">
          <w:rPr>
            <w:rStyle w:val="Hyperlink"/>
            <w:rFonts w:cs="Times New Roman"/>
          </w:rPr>
          <w:t>House Journal</w:t>
        </w:r>
        <w:r w:rsidRPr="00A40763">
          <w:rPr>
            <w:rStyle w:val="Hyperlink"/>
            <w:rFonts w:cs="Times New Roman"/>
          </w:rPr>
          <w:noBreakHyphen/>
          <w:t>page 29</w:t>
        </w:r>
      </w:hyperlink>
      <w:bookmarkStart w:id="0" w:name="_GoBack"/>
      <w:bookmarkEnd w:id="0"/>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A40763">
        <w:rPr>
          <w:rFonts w:cs="Times New Roman"/>
        </w:rPr>
        <w:t xml:space="preserve">Committee report: </w:t>
      </w:r>
      <w:r>
        <w:rPr>
          <w:rFonts w:cs="Times New Roman"/>
        </w:rPr>
        <w:t xml:space="preserve">Favorable with amendment </w:t>
      </w:r>
      <w:r w:rsidRPr="00A40763">
        <w:rPr>
          <w:rFonts w:cs="Times New Roman"/>
          <w:b/>
        </w:rPr>
        <w:t>Labor, Commerce and Industry</w:t>
      </w:r>
      <w:r w:rsidRPr="00A40763">
        <w:rPr>
          <w:rFonts w:cs="Times New Roman"/>
        </w:rPr>
        <w:t xml:space="preserve"> (</w:t>
      </w:r>
      <w:hyperlink r:id="rId9" w:history="1">
        <w:r w:rsidRPr="00A40763">
          <w:rPr>
            <w:rStyle w:val="Hyperlink"/>
            <w:rFonts w:cs="Times New Roman"/>
          </w:rPr>
          <w:t>House Journal</w:t>
        </w:r>
        <w:r w:rsidRPr="00A40763">
          <w:rPr>
            <w:rStyle w:val="Hyperlink"/>
            <w:rFonts w:cs="Times New Roman"/>
          </w:rPr>
          <w:noBreakHyphen/>
          <w:t>page 17</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2/2/2018</w:t>
      </w:r>
      <w:r>
        <w:rPr>
          <w:rFonts w:cs="Times New Roman"/>
        </w:rPr>
        <w:tab/>
      </w:r>
      <w:r>
        <w:rPr>
          <w:rFonts w:cs="Times New Roman"/>
        </w:rPr>
        <w:tab/>
      </w:r>
      <w:r w:rsidRPr="00A40763">
        <w:rPr>
          <w:rFonts w:cs="Times New Roman"/>
        </w:rPr>
        <w:t>Scrivener's error corrected</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40763">
        <w:rPr>
          <w:rFonts w:cs="Times New Roman"/>
        </w:rPr>
        <w:t>Amended (</w:t>
      </w:r>
      <w:hyperlink r:id="rId10" w:history="1">
        <w:r w:rsidRPr="00A40763">
          <w:rPr>
            <w:rStyle w:val="Hyperlink"/>
            <w:rFonts w:cs="Times New Roman"/>
          </w:rPr>
          <w:t>House Journal</w:t>
        </w:r>
        <w:r w:rsidRPr="00A40763">
          <w:rPr>
            <w:rStyle w:val="Hyperlink"/>
            <w:rFonts w:cs="Times New Roman"/>
          </w:rPr>
          <w:noBreakHyphen/>
          <w:t>page 27</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40763">
        <w:rPr>
          <w:rFonts w:cs="Times New Roman"/>
        </w:rPr>
        <w:t>Read second time (</w:t>
      </w:r>
      <w:hyperlink r:id="rId11" w:history="1">
        <w:r w:rsidRPr="00A40763">
          <w:rPr>
            <w:rStyle w:val="Hyperlink"/>
            <w:rFonts w:cs="Times New Roman"/>
          </w:rPr>
          <w:t>House Journal</w:t>
        </w:r>
        <w:r w:rsidRPr="00A40763">
          <w:rPr>
            <w:rStyle w:val="Hyperlink"/>
            <w:rFonts w:cs="Times New Roman"/>
          </w:rPr>
          <w:noBreakHyphen/>
          <w:t>page 27</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A40763">
        <w:rPr>
          <w:rFonts w:cs="Times New Roman"/>
        </w:rPr>
        <w:t>Roll call Yeas</w:t>
      </w:r>
      <w:r>
        <w:rPr>
          <w:rFonts w:cs="Times New Roman"/>
        </w:rPr>
        <w:noBreakHyphen/>
      </w:r>
      <w:r w:rsidRPr="00A40763">
        <w:rPr>
          <w:rFonts w:cs="Times New Roman"/>
        </w:rPr>
        <w:t>105  Nays</w:t>
      </w:r>
      <w:r>
        <w:rPr>
          <w:rFonts w:cs="Times New Roman"/>
        </w:rPr>
        <w:noBreakHyphen/>
      </w:r>
      <w:r w:rsidRPr="00A40763">
        <w:rPr>
          <w:rFonts w:cs="Times New Roman"/>
        </w:rPr>
        <w:t>2 (</w:t>
      </w:r>
      <w:hyperlink r:id="rId12" w:history="1">
        <w:r w:rsidRPr="00A40763">
          <w:rPr>
            <w:rStyle w:val="Hyperlink"/>
            <w:rFonts w:cs="Times New Roman"/>
          </w:rPr>
          <w:t>House Journal</w:t>
        </w:r>
        <w:r w:rsidRPr="00A40763">
          <w:rPr>
            <w:rStyle w:val="Hyperlink"/>
            <w:rFonts w:cs="Times New Roman"/>
          </w:rPr>
          <w:noBreakHyphen/>
          <w:t>page 28</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r>
      <w:r>
        <w:rPr>
          <w:rFonts w:cs="Times New Roman"/>
        </w:rPr>
        <w:tab/>
      </w:r>
      <w:r w:rsidRPr="00A40763">
        <w:rPr>
          <w:rFonts w:cs="Times New Roman"/>
        </w:rPr>
        <w:t>Scrivener's error corrected</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A40763">
        <w:rPr>
          <w:rFonts w:cs="Times New Roman"/>
        </w:rPr>
        <w:t>Rea</w:t>
      </w:r>
      <w:r>
        <w:rPr>
          <w:rFonts w:cs="Times New Roman"/>
        </w:rPr>
        <w:t xml:space="preserve">d third time and sent to Senate </w:t>
      </w:r>
      <w:r w:rsidRPr="00A40763">
        <w:rPr>
          <w:rFonts w:cs="Times New Roman"/>
        </w:rPr>
        <w:t>(</w:t>
      </w:r>
      <w:hyperlink r:id="rId13" w:history="1">
        <w:r w:rsidRPr="00A40763">
          <w:rPr>
            <w:rStyle w:val="Hyperlink"/>
            <w:rFonts w:cs="Times New Roman"/>
          </w:rPr>
          <w:t>House Journal</w:t>
        </w:r>
        <w:r w:rsidRPr="00A40763">
          <w:rPr>
            <w:rStyle w:val="Hyperlink"/>
            <w:rFonts w:cs="Times New Roman"/>
          </w:rPr>
          <w:noBreakHyphen/>
          <w:t>page 12</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A40763">
        <w:rPr>
          <w:rFonts w:cs="Times New Roman"/>
        </w:rPr>
        <w:t>Introduced and read first time (</w:t>
      </w:r>
      <w:hyperlink r:id="rId14" w:history="1">
        <w:r w:rsidRPr="00A40763">
          <w:rPr>
            <w:rStyle w:val="Hyperlink"/>
            <w:rFonts w:cs="Times New Roman"/>
          </w:rPr>
          <w:t>Senate Journal</w:t>
        </w:r>
        <w:r w:rsidRPr="00A40763">
          <w:rPr>
            <w:rStyle w:val="Hyperlink"/>
            <w:rFonts w:cs="Times New Roman"/>
          </w:rPr>
          <w:noBreakHyphen/>
          <w:t>page 29</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A40763">
        <w:rPr>
          <w:rFonts w:cs="Times New Roman"/>
        </w:rPr>
        <w:t>Referred to Com</w:t>
      </w:r>
      <w:r>
        <w:rPr>
          <w:rFonts w:cs="Times New Roman"/>
        </w:rPr>
        <w:t xml:space="preserve">mittee on </w:t>
      </w:r>
      <w:r w:rsidRPr="00A40763">
        <w:rPr>
          <w:rFonts w:cs="Times New Roman"/>
          <w:b/>
        </w:rPr>
        <w:t>Banking and Insurance</w:t>
      </w:r>
      <w:r>
        <w:rPr>
          <w:rFonts w:cs="Times New Roman"/>
        </w:rPr>
        <w:t xml:space="preserve"> </w:t>
      </w:r>
      <w:r w:rsidRPr="00A40763">
        <w:rPr>
          <w:rFonts w:cs="Times New Roman"/>
        </w:rPr>
        <w:t>(</w:t>
      </w:r>
      <w:hyperlink r:id="rId15" w:history="1">
        <w:r w:rsidRPr="00A40763">
          <w:rPr>
            <w:rStyle w:val="Hyperlink"/>
            <w:rFonts w:cs="Times New Roman"/>
          </w:rPr>
          <w:t>Senate Journal</w:t>
        </w:r>
        <w:r w:rsidRPr="00A40763">
          <w:rPr>
            <w:rStyle w:val="Hyperlink"/>
            <w:rFonts w:cs="Times New Roman"/>
          </w:rPr>
          <w:noBreakHyphen/>
          <w:t>page 29</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A40763">
        <w:rPr>
          <w:rFonts w:cs="Times New Roman"/>
        </w:rPr>
        <w:t xml:space="preserve">Committee report: </w:t>
      </w:r>
      <w:r>
        <w:rPr>
          <w:rFonts w:cs="Times New Roman"/>
        </w:rPr>
        <w:t xml:space="preserve">Favorable </w:t>
      </w:r>
      <w:r w:rsidRPr="00A40763">
        <w:rPr>
          <w:rFonts w:cs="Times New Roman"/>
          <w:b/>
        </w:rPr>
        <w:t>Banking and Insurance</w:t>
      </w:r>
      <w:r>
        <w:rPr>
          <w:rFonts w:cs="Times New Roman"/>
        </w:rPr>
        <w:t xml:space="preserve"> </w:t>
      </w:r>
      <w:r w:rsidRPr="00A40763">
        <w:rPr>
          <w:rFonts w:cs="Times New Roman"/>
        </w:rPr>
        <w:t>(</w:t>
      </w:r>
      <w:hyperlink r:id="rId16" w:history="1">
        <w:r w:rsidRPr="00A40763">
          <w:rPr>
            <w:rStyle w:val="Hyperlink"/>
            <w:rFonts w:cs="Times New Roman"/>
          </w:rPr>
          <w:t>Senate Journal</w:t>
        </w:r>
        <w:r w:rsidRPr="00A40763">
          <w:rPr>
            <w:rStyle w:val="Hyperlink"/>
            <w:rFonts w:cs="Times New Roman"/>
          </w:rPr>
          <w:noBreakHyphen/>
          <w:t>page 12</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A40763">
        <w:rPr>
          <w:rFonts w:cs="Times New Roman"/>
        </w:rPr>
        <w:t>Read second time (</w:t>
      </w:r>
      <w:hyperlink r:id="rId17" w:history="1">
        <w:r w:rsidRPr="00A40763">
          <w:rPr>
            <w:rStyle w:val="Hyperlink"/>
            <w:rFonts w:cs="Times New Roman"/>
          </w:rPr>
          <w:t>Senate Journal</w:t>
        </w:r>
        <w:r w:rsidRPr="00A40763">
          <w:rPr>
            <w:rStyle w:val="Hyperlink"/>
            <w:rFonts w:cs="Times New Roman"/>
          </w:rPr>
          <w:noBreakHyphen/>
          <w:t>page 22</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A40763">
        <w:rPr>
          <w:rFonts w:cs="Times New Roman"/>
        </w:rPr>
        <w:t>Read third time and enrolled (</w:t>
      </w:r>
      <w:hyperlink r:id="rId18" w:history="1">
        <w:r w:rsidRPr="00A40763">
          <w:rPr>
            <w:rStyle w:val="Hyperlink"/>
            <w:rFonts w:cs="Times New Roman"/>
          </w:rPr>
          <w:t>Senate Journal</w:t>
        </w:r>
        <w:r w:rsidRPr="00A40763">
          <w:rPr>
            <w:rStyle w:val="Hyperlink"/>
            <w:rFonts w:cs="Times New Roman"/>
          </w:rPr>
          <w:noBreakHyphen/>
          <w:t>page 17</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A40763">
        <w:rPr>
          <w:rFonts w:cs="Times New Roman"/>
        </w:rPr>
        <w:t>Roll call Ayes</w:t>
      </w:r>
      <w:r>
        <w:rPr>
          <w:rFonts w:cs="Times New Roman"/>
        </w:rPr>
        <w:noBreakHyphen/>
      </w:r>
      <w:r w:rsidRPr="00A40763">
        <w:rPr>
          <w:rFonts w:cs="Times New Roman"/>
        </w:rPr>
        <w:t>38  Nays</w:t>
      </w:r>
      <w:r>
        <w:rPr>
          <w:rFonts w:cs="Times New Roman"/>
        </w:rPr>
        <w:noBreakHyphen/>
      </w:r>
      <w:r w:rsidRPr="00A40763">
        <w:rPr>
          <w:rFonts w:cs="Times New Roman"/>
        </w:rPr>
        <w:t>0 (</w:t>
      </w:r>
      <w:hyperlink r:id="rId19" w:history="1">
        <w:r w:rsidRPr="00A40763">
          <w:rPr>
            <w:rStyle w:val="Hyperlink"/>
            <w:rFonts w:cs="Times New Roman"/>
          </w:rPr>
          <w:t>Senate Journal</w:t>
        </w:r>
        <w:r w:rsidRPr="00A40763">
          <w:rPr>
            <w:rStyle w:val="Hyperlink"/>
            <w:rFonts w:cs="Times New Roman"/>
          </w:rPr>
          <w:noBreakHyphen/>
          <w:t>page 17</w:t>
        </w:r>
      </w:hyperlink>
      <w:r w:rsidRPr="00A40763">
        <w:rPr>
          <w:rFonts w:cs="Times New Roman"/>
        </w:rPr>
        <w:t>)</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A40763">
        <w:rPr>
          <w:rFonts w:cs="Times New Roman"/>
        </w:rPr>
        <w:t>Ratified R 184</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A40763">
        <w:rPr>
          <w:rFonts w:cs="Times New Roman"/>
        </w:rPr>
        <w:t>Signed By Governor</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A40763">
        <w:rPr>
          <w:rFonts w:cs="Times New Roman"/>
        </w:rPr>
        <w:t>Effective date 01/01/19</w:t>
      </w:r>
    </w:p>
    <w:p w:rsidR="00847270" w:rsidRDefault="00847270" w:rsidP="00847270">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40763">
        <w:rPr>
          <w:rFonts w:cs="Times New Roman"/>
        </w:rPr>
        <w:t>Act No</w:t>
      </w:r>
      <w:r>
        <w:rPr>
          <w:rFonts w:cs="Times New Roman"/>
        </w:rPr>
        <w:t>. </w:t>
      </w:r>
      <w:r w:rsidRPr="00A40763">
        <w:rPr>
          <w:rFonts w:cs="Times New Roman"/>
        </w:rPr>
        <w:t>171</w:t>
      </w:r>
    </w:p>
    <w:p w:rsidR="00847270" w:rsidRDefault="00847270" w:rsidP="00847270">
      <w:pPr>
        <w:widowControl w:val="0"/>
        <w:tabs>
          <w:tab w:val="right" w:pos="1008"/>
          <w:tab w:val="left" w:pos="1152"/>
          <w:tab w:val="left" w:pos="1872"/>
          <w:tab w:val="left" w:pos="9187"/>
        </w:tabs>
        <w:ind w:left="2088" w:hanging="2088"/>
        <w:rPr>
          <w:rFonts w:cs="Times New Roman"/>
        </w:rPr>
      </w:pPr>
    </w:p>
    <w:p w:rsidR="003567BF" w:rsidRPr="003567BF" w:rsidRDefault="003567BF" w:rsidP="003567BF">
      <w:pPr>
        <w:widowControl w:val="0"/>
        <w:tabs>
          <w:tab w:val="right" w:pos="1008"/>
          <w:tab w:val="left" w:pos="1152"/>
          <w:tab w:val="left" w:pos="1872"/>
          <w:tab w:val="left" w:pos="9187"/>
        </w:tabs>
        <w:ind w:left="2088" w:hanging="2088"/>
        <w:rPr>
          <w:rFonts w:eastAsia="Times New Roman" w:cs="Times New Roman"/>
          <w:szCs w:val="20"/>
        </w:rPr>
      </w:pPr>
      <w:r w:rsidRPr="003567BF">
        <w:rPr>
          <w:rFonts w:eastAsia="Times New Roman" w:cs="Times New Roman"/>
          <w:szCs w:val="20"/>
        </w:rPr>
        <w:t xml:space="preserve">View the latest </w:t>
      </w:r>
      <w:hyperlink r:id="rId20" w:history="1">
        <w:r w:rsidRPr="003567BF">
          <w:rPr>
            <w:rFonts w:eastAsia="Times New Roman" w:cs="Times New Roman"/>
            <w:color w:val="0000FF" w:themeColor="hyperlink"/>
            <w:szCs w:val="20"/>
            <w:u w:val="single"/>
          </w:rPr>
          <w:t>legislative information</w:t>
        </w:r>
      </w:hyperlink>
      <w:r w:rsidRPr="003567BF">
        <w:rPr>
          <w:rFonts w:eastAsia="Times New Roman" w:cs="Times New Roman"/>
          <w:szCs w:val="20"/>
        </w:rPr>
        <w:t xml:space="preserve"> at the website</w:t>
      </w:r>
    </w:p>
    <w:p w:rsidR="003567BF" w:rsidRPr="003567BF" w:rsidRDefault="003567BF" w:rsidP="003567BF">
      <w:pPr>
        <w:widowControl w:val="0"/>
        <w:tabs>
          <w:tab w:val="right" w:pos="1008"/>
          <w:tab w:val="left" w:pos="1152"/>
          <w:tab w:val="left" w:pos="1872"/>
          <w:tab w:val="left" w:pos="9187"/>
        </w:tabs>
        <w:ind w:left="2088" w:hanging="2088"/>
        <w:rPr>
          <w:rFonts w:eastAsia="Times New Roman" w:cs="Times New Roman"/>
          <w:szCs w:val="20"/>
        </w:rPr>
      </w:pPr>
    </w:p>
    <w:p w:rsidR="003567BF" w:rsidRPr="003567BF" w:rsidRDefault="003567BF" w:rsidP="003567BF">
      <w:pPr>
        <w:widowControl w:val="0"/>
        <w:tabs>
          <w:tab w:val="right" w:pos="1008"/>
          <w:tab w:val="left" w:pos="1152"/>
          <w:tab w:val="left" w:pos="1872"/>
          <w:tab w:val="left" w:pos="9187"/>
        </w:tabs>
        <w:ind w:left="2088" w:hanging="2088"/>
        <w:rPr>
          <w:rFonts w:eastAsia="Times New Roman" w:cs="Times New Roman"/>
          <w:szCs w:val="20"/>
        </w:rPr>
      </w:pP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67BF">
        <w:rPr>
          <w:rFonts w:eastAsia="Times New Roman" w:cs="Times New Roman"/>
          <w:b/>
          <w:szCs w:val="20"/>
        </w:rPr>
        <w:t>VERSIONS OF THIS BILL</w:t>
      </w:r>
    </w:p>
    <w:p w:rsidR="003567BF" w:rsidRPr="003567BF" w:rsidRDefault="003567B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67BF" w:rsidRPr="003567BF" w:rsidRDefault="00E22A5F" w:rsidP="003567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567BF" w:rsidRPr="003567BF">
          <w:rPr>
            <w:rFonts w:eastAsia="Times New Roman" w:cs="Times New Roman"/>
            <w:color w:val="0000FF" w:themeColor="hyperlink"/>
            <w:szCs w:val="20"/>
            <w:u w:val="single"/>
          </w:rPr>
          <w:t>1/23/2018</w:t>
        </w:r>
      </w:hyperlink>
    </w:p>
    <w:p w:rsidR="003567BF" w:rsidRPr="003567BF" w:rsidRDefault="00E22A5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567BF" w:rsidRPr="003567BF">
          <w:rPr>
            <w:rFonts w:eastAsia="Times New Roman" w:cs="Times New Roman"/>
            <w:color w:val="0000FF" w:themeColor="hyperlink"/>
            <w:szCs w:val="20"/>
            <w:u w:val="single"/>
          </w:rPr>
          <w:t>2/1/2018</w:t>
        </w:r>
      </w:hyperlink>
    </w:p>
    <w:p w:rsidR="003567BF" w:rsidRPr="003567BF" w:rsidRDefault="00E22A5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567BF" w:rsidRPr="003567BF">
          <w:rPr>
            <w:rFonts w:eastAsia="Times New Roman" w:cs="Times New Roman"/>
            <w:color w:val="0000FF" w:themeColor="hyperlink"/>
            <w:szCs w:val="20"/>
            <w:u w:val="single"/>
          </w:rPr>
          <w:t>2/2/2018</w:t>
        </w:r>
      </w:hyperlink>
    </w:p>
    <w:p w:rsidR="003567BF" w:rsidRPr="003567BF" w:rsidRDefault="00E22A5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567BF" w:rsidRPr="003567BF">
          <w:rPr>
            <w:rFonts w:eastAsia="Times New Roman" w:cs="Times New Roman"/>
            <w:color w:val="0000FF" w:themeColor="hyperlink"/>
            <w:szCs w:val="20"/>
            <w:u w:val="single"/>
          </w:rPr>
          <w:t>2/6/2018</w:t>
        </w:r>
      </w:hyperlink>
    </w:p>
    <w:p w:rsidR="003567BF" w:rsidRPr="003567BF" w:rsidRDefault="00E22A5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567BF" w:rsidRPr="003567BF">
          <w:rPr>
            <w:rFonts w:eastAsia="Times New Roman" w:cs="Times New Roman"/>
            <w:color w:val="0000FF" w:themeColor="hyperlink"/>
            <w:szCs w:val="20"/>
            <w:u w:val="single"/>
          </w:rPr>
          <w:t>2/7/2018</w:t>
        </w:r>
      </w:hyperlink>
    </w:p>
    <w:p w:rsidR="003567BF" w:rsidRPr="003567BF" w:rsidRDefault="00E22A5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567BF" w:rsidRPr="003567BF">
          <w:rPr>
            <w:rFonts w:eastAsia="Times New Roman" w:cs="Times New Roman"/>
            <w:color w:val="0000FF" w:themeColor="hyperlink"/>
            <w:szCs w:val="20"/>
            <w:u w:val="single"/>
          </w:rPr>
          <w:t>2/20/2018</w:t>
        </w:r>
      </w:hyperlink>
    </w:p>
    <w:p w:rsidR="003567BF" w:rsidRPr="003567BF" w:rsidRDefault="003567B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67BF" w:rsidRDefault="003567BF" w:rsidP="003567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567BF" w:rsidSect="003567BF">
          <w:pgSz w:w="12240" w:h="15840" w:code="1"/>
          <w:pgMar w:top="1080" w:right="1440" w:bottom="1080" w:left="1440" w:header="720" w:footer="720" w:gutter="0"/>
          <w:pgNumType w:start="1"/>
          <w:cols w:space="720"/>
          <w:noEndnote/>
          <w:docGrid w:linePitch="360"/>
        </w:sectPr>
      </w:pP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R184, H4655)</w:t>
      </w:r>
    </w:p>
    <w:p w:rsidR="0061376B" w:rsidRPr="008836A5"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376B" w:rsidRPr="003567BF"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567BF">
        <w:rPr>
          <w:rFonts w:cs="Times New Roman"/>
          <w:b/>
          <w:color w:val="000000" w:themeColor="text1"/>
          <w:szCs w:val="36"/>
        </w:rPr>
        <w:t xml:space="preserve">AN ACT </w:t>
      </w:r>
      <w:r w:rsidRPr="003567BF">
        <w:rPr>
          <w:rFonts w:cs="Times New Roman"/>
          <w:b/>
          <w:color w:val="000000" w:themeColor="text1"/>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7E3C">
        <w:rPr>
          <w:rFonts w:cs="Times New Roman"/>
        </w:rPr>
        <w:t>Be it enacted by the General Assembly of the State of South Carolina:</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376B" w:rsidRPr="00562D8E"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The purpose and intent of this act is to establish standards for data security and standards for the investigation of and notification to the director of a cybersecurity event applicable to licensees. This act </w:t>
      </w:r>
      <w:r w:rsidRPr="00EB7E3C">
        <w:rPr>
          <w:rFonts w:cs="Times New Roman"/>
          <w:color w:val="000000" w:themeColor="text1"/>
          <w:u w:color="000000" w:themeColor="text1"/>
        </w:rPr>
        <w:lastRenderedPageBreak/>
        <w:t>may not be construed to create or imply a private cause of action for a violation of its provisions nor may it be construed to curtail a private cause of action which would otherwise exist in the absence of this act.</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562D8E"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This act is known and may be cited as the “South Carolina Insurance Data Security Act”. </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562D8E"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Insurer data security requirements</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3.</w:t>
      </w:r>
      <w:r w:rsidRPr="00EB7E3C">
        <w:rPr>
          <w:rFonts w:cs="Times New Roman"/>
          <w:color w:val="000000" w:themeColor="text1"/>
          <w:u w:color="000000" w:themeColor="text1"/>
        </w:rPr>
        <w:tab/>
        <w:t xml:space="preserve">Title 38 of the 1976 Code is amended by adding: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B7E3C">
        <w:rPr>
          <w:rFonts w:cs="Times New Roman"/>
          <w:color w:val="000000" w:themeColor="text1"/>
          <w:u w:color="000000" w:themeColor="text1"/>
        </w:rPr>
        <w:t>“CHAPTER 99</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EB7E3C">
        <w:rPr>
          <w:rFonts w:cs="Times New Roman"/>
          <w:color w:val="000000" w:themeColor="text1"/>
          <w:u w:color="000000" w:themeColor="text1"/>
        </w:rPr>
        <w:t>South Carolina Insurance Data Security Act</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10.</w:t>
      </w:r>
      <w:r w:rsidRPr="00EB7E3C">
        <w:rPr>
          <w:rFonts w:cs="Times New Roman"/>
          <w:color w:val="000000" w:themeColor="text1"/>
          <w:u w:color="000000" w:themeColor="text1"/>
        </w:rPr>
        <w:tab/>
        <w:t xml:space="preserve">As used in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Authorized individual</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an individual known to and screened by the licensee and determined to be necessary and appropriate to have access to nonpublic information held by the licensee and its information systems.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(2)</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Consumer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an individual including, but not limited to, an applicant, policyholder, insured, beneficiary, claimant, and certificate holder who is a resident of this State and whose nonpublic information is in a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possession, custody, or control.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(3)</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Cybersecurity event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an event resulting in unauthorized access to or the disruption or misuse of an information system or information stored on an information system. The term </w:t>
      </w:r>
      <w:r w:rsidRPr="00562D8E">
        <w:rPr>
          <w:rFonts w:cs="Times New Roman"/>
          <w:color w:val="000000" w:themeColor="text1"/>
          <w:u w:color="000000" w:themeColor="text1"/>
        </w:rPr>
        <w:t>‘</w:t>
      </w:r>
      <w:r w:rsidRPr="00EB7E3C">
        <w:rPr>
          <w:rFonts w:cs="Times New Roman"/>
          <w:color w:val="000000" w:themeColor="text1"/>
          <w:u w:color="000000" w:themeColor="text1"/>
        </w:rPr>
        <w:t>cybersecurity event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does not include the unauthorized acquisition of encrypted nonpublic information if the encryption, process or key is not also acquired, released or used without authorization. The term </w:t>
      </w:r>
      <w:r w:rsidRPr="00562D8E">
        <w:rPr>
          <w:rFonts w:cs="Times New Roman"/>
          <w:color w:val="000000" w:themeColor="text1"/>
          <w:u w:color="000000" w:themeColor="text1"/>
        </w:rPr>
        <w:t>‘</w:t>
      </w:r>
      <w:r w:rsidRPr="00EB7E3C">
        <w:rPr>
          <w:rFonts w:cs="Times New Roman"/>
          <w:color w:val="000000" w:themeColor="text1"/>
          <w:u w:color="000000" w:themeColor="text1"/>
        </w:rPr>
        <w:t>cybersecurity event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also does not include an event with regard to which the licensee has determined that the nonpublic information accessed by an unauthorized person has not been used or released and has been returned or destroyed.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(4)</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Department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Department of Insurance.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(5)</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Director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Director of the Department of Insurance or his designee.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(6)</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Encrypted</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transformation of data into a form which results in a low probability of assigning meaning without the use of a protective process or key.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t>(7)</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Information security program</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administrative, technical, and physical safeguards that a licensee uses to access, collect, distribute, process, protect, store, use, transmit, dispose of, or otherwise handle nonpublic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(8)</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Information system</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 discrete set of electronic information resources organized for the collection, processing, maintenance, use, sharing, dissemination or disposition of electronic information, as well as any specialized system such as industrial or process controls systems, telephone switching and private branch exchange systems, and environmental control systems.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(9)</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 person licensed, authorized to operate, or registered, or required to be licensed, authorized, or registered pursuant to the insurance laws of this State but does not include a purchasing group or a risk retention group chartered and licensed in a state other than this State or a licensee that is acting as an assuming insurer that is domiciled in another state or jurisdiction.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(10)</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Multifactor authentication</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authentication through verification of at least two of the following authentication factors: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knowledge factors, such as a password;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possession factors, such as a token or text message on a mobile phone;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(c)</w:t>
      </w:r>
      <w:r w:rsidRPr="00EB7E3C">
        <w:rPr>
          <w:rFonts w:cs="Times New Roman"/>
          <w:color w:val="000000" w:themeColor="text1"/>
          <w:u w:color="000000" w:themeColor="text1"/>
        </w:rPr>
        <w:tab/>
        <w:t xml:space="preserve">inherence factors, such as a biometric characteristic.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(11)</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Nonpublic information</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information that is not publicly available information and is: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business</w:t>
      </w:r>
      <w:r>
        <w:rPr>
          <w:rFonts w:cs="Times New Roman"/>
          <w:color w:val="000000" w:themeColor="text1"/>
          <w:u w:color="000000" w:themeColor="text1"/>
        </w:rPr>
        <w:noBreakHyphen/>
      </w:r>
      <w:r w:rsidRPr="00EB7E3C">
        <w:rPr>
          <w:rFonts w:cs="Times New Roman"/>
          <w:color w:val="000000" w:themeColor="text1"/>
          <w:u w:color="000000" w:themeColor="text1"/>
        </w:rPr>
        <w:t xml:space="preserve">related information of a licensee the tampering with which, or unauthorized disclosure, access, or use of which, would cause a material adverse impact to the business, operations, or security of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any information concerning a consumer which because of name, number, personal mark, or other identifier can be used to identify such consumer, in combination with any one or more of the following data elements: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 xml:space="preserve">(i) </w:t>
      </w:r>
      <w:r w:rsidRPr="00EB7E3C">
        <w:rPr>
          <w:rFonts w:cs="Times New Roman"/>
          <w:color w:val="000000" w:themeColor="text1"/>
          <w:u w:color="000000" w:themeColor="text1"/>
        </w:rPr>
        <w:tab/>
        <w:t xml:space="preserve">social security number;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(ii)</w:t>
      </w:r>
      <w:r w:rsidRPr="00EB7E3C">
        <w:rPr>
          <w:rFonts w:cs="Times New Roman"/>
          <w:color w:val="000000" w:themeColor="text1"/>
          <w:u w:color="000000" w:themeColor="text1"/>
        </w:rPr>
        <w:tab/>
        <w:t>driver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license number or nondriver identification card number;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(iii)</w:t>
      </w:r>
      <w:r w:rsidRPr="00EB7E3C">
        <w:rPr>
          <w:rFonts w:cs="Times New Roman"/>
          <w:color w:val="000000" w:themeColor="text1"/>
          <w:u w:color="000000" w:themeColor="text1"/>
        </w:rPr>
        <w:tab/>
        <w:t xml:space="preserve">account number, credit or debit card number;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(iv)</w:t>
      </w:r>
      <w:r w:rsidRPr="00EB7E3C">
        <w:rPr>
          <w:rFonts w:cs="Times New Roman"/>
          <w:color w:val="000000" w:themeColor="text1"/>
          <w:u w:color="000000" w:themeColor="text1"/>
        </w:rPr>
        <w:tab/>
        <w:t>security code, access code, or password that would permit access to a consumer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financial account;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(v)</w:t>
      </w:r>
      <w:r w:rsidRPr="00EB7E3C">
        <w:rPr>
          <w:rFonts w:cs="Times New Roman"/>
          <w:color w:val="000000" w:themeColor="text1"/>
          <w:u w:color="000000" w:themeColor="text1"/>
        </w:rPr>
        <w:tab/>
        <w:t xml:space="preserve">biometric records;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(c)</w:t>
      </w:r>
      <w:r w:rsidRPr="00EB7E3C">
        <w:rPr>
          <w:rFonts w:cs="Times New Roman"/>
          <w:color w:val="000000" w:themeColor="text1"/>
          <w:u w:color="000000" w:themeColor="text1"/>
        </w:rPr>
        <w:tab/>
        <w:t xml:space="preserve">any information or data, except age or gender, in any form or medium created by or derived from a health care provider or a consumer and that relates to: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r>
      <w:r w:rsidRPr="00EB7E3C">
        <w:rPr>
          <w:rFonts w:cs="Times New Roman"/>
          <w:color w:val="000000" w:themeColor="text1"/>
          <w:u w:color="000000" w:themeColor="text1"/>
        </w:rPr>
        <w:tab/>
        <w:t xml:space="preserve">(i) </w:t>
      </w:r>
      <w:r w:rsidRPr="00EB7E3C">
        <w:rPr>
          <w:rFonts w:cs="Times New Roman"/>
          <w:color w:val="000000" w:themeColor="text1"/>
          <w:u w:color="000000" w:themeColor="text1"/>
        </w:rPr>
        <w:tab/>
        <w:t>the past, present</w:t>
      </w:r>
      <w:r>
        <w:rPr>
          <w:rFonts w:cs="Times New Roman"/>
          <w:color w:val="000000" w:themeColor="text1"/>
          <w:u w:color="000000" w:themeColor="text1"/>
        </w:rPr>
        <w:t>,</w:t>
      </w:r>
      <w:r w:rsidRPr="00EB7E3C">
        <w:rPr>
          <w:rFonts w:cs="Times New Roman"/>
          <w:color w:val="000000" w:themeColor="text1"/>
          <w:u w:color="000000" w:themeColor="text1"/>
        </w:rPr>
        <w:t xml:space="preserve"> or future physical, mental or behavioral health or condition of a consumer or a member of the consumer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family;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(ii)</w:t>
      </w:r>
      <w:r w:rsidRPr="00EB7E3C">
        <w:rPr>
          <w:rFonts w:cs="Times New Roman"/>
          <w:color w:val="000000" w:themeColor="text1"/>
          <w:u w:color="000000" w:themeColor="text1"/>
        </w:rPr>
        <w:tab/>
        <w:t xml:space="preserve">the provision of health care to a consumer;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(iii)</w:t>
      </w:r>
      <w:r w:rsidRPr="00EB7E3C">
        <w:rPr>
          <w:rFonts w:cs="Times New Roman"/>
          <w:color w:val="000000" w:themeColor="text1"/>
          <w:u w:color="000000" w:themeColor="text1"/>
        </w:rPr>
        <w:tab/>
        <w:t xml:space="preserve">payment for the provision of health care to a consumer.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(12)</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Person</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any individual or any nongovernmental entity including, but not limited to, a nongovernmental partnership, corporation, branch, agency, or association.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(13)</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Publicly available information</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information that a licensee has a reasonable basis to believe is lawfully made available to the general public from federal, state, or local governmental records, widely distributed media, or disclosures to the general public that are required to be made by federal, state, or local law. For the purposes of this item, a licensee has a reasonable basis to believe information is lawfully made available to the general public if the licensee has taken steps to determine: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that the information is of the type that is available to the general public;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whether a consumer can direct that the information not be made available to the general public and, if so, that the consumer has not done so.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(14)</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Risk assessment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risk assessment that each licensee is required to conduct under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(15)</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State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the State of South Carolina.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(16)</w:t>
      </w:r>
      <w:r w:rsidRPr="00EB7E3C">
        <w:rPr>
          <w:rFonts w:cs="Times New Roman"/>
          <w:color w:val="000000" w:themeColor="text1"/>
          <w:u w:color="000000" w:themeColor="text1"/>
        </w:rPr>
        <w:tab/>
      </w:r>
      <w:r w:rsidRPr="00562D8E">
        <w:rPr>
          <w:rFonts w:cs="Times New Roman"/>
          <w:color w:val="000000" w:themeColor="text1"/>
          <w:u w:color="000000" w:themeColor="text1"/>
        </w:rPr>
        <w:t>‘</w:t>
      </w:r>
      <w:r w:rsidRPr="00EB7E3C">
        <w:rPr>
          <w:rFonts w:cs="Times New Roman"/>
          <w:color w:val="000000" w:themeColor="text1"/>
          <w:u w:color="000000" w:themeColor="text1"/>
        </w:rPr>
        <w:t>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means a person not otherwise defined as a licensee that contracts with a licensee to maintain, process, store or otherwise is permitted access to nonpublic information through its provision of services to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20.</w:t>
      </w:r>
      <w:r w:rsidRPr="00EB7E3C">
        <w:rPr>
          <w:rFonts w:cs="Times New Roman"/>
          <w:color w:val="000000" w:themeColor="text1"/>
          <w:u w:color="000000" w:themeColor="text1"/>
        </w:rPr>
        <w:tab/>
        <w:t>(A)</w:t>
      </w:r>
      <w:r w:rsidRPr="00EB7E3C">
        <w:rPr>
          <w:rFonts w:cs="Times New Roman"/>
          <w:color w:val="000000" w:themeColor="text1"/>
          <w:u w:color="000000" w:themeColor="text1"/>
        </w:rPr>
        <w:tab/>
        <w:t>Commensurate with the size and complexity of the licensee, the nature and scope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activities, including its use of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providers, and the sensitivity of the nonpublic information used by the licensee or in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possession, custody, or control, each licensee shall develop, implement, and maintain a comprehensive written information security program based on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risk assessment and that contains administrative, technical, and physical safeguards for the protection of nonpublic information and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information system.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A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information security program must be designed to: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protect the security and confidentiality of nonpublic information and the security of the information system;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protect against threats or hazards to the security or integrity of nonpublic information and the information system;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 xml:space="preserve">protect against unauthorized access to or use of nonpublic information, and minimize the likelihood of harm to a consumer;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 xml:space="preserve">define and periodically reevaluate a schedule for retention of nonpublic information and a mechanism for its destruction when no longer needed.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(C)</w:t>
      </w:r>
      <w:r w:rsidRPr="00EB7E3C">
        <w:rPr>
          <w:rFonts w:cs="Times New Roman"/>
          <w:color w:val="000000" w:themeColor="text1"/>
          <w:u w:color="000000" w:themeColor="text1"/>
        </w:rPr>
        <w:tab/>
        <w:t xml:space="preserve">The licensee shall: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designate one or more employees, an affiliate, or an outside vendor designated to act on behalf of the licensee as responsible for the information security program;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identify reasonably foreseeable internal or external threats that could result in the unauthorized access to or transmission, disclosure, misuse, alteration, or destruction of nonpublic information including the security of information systems and nonpublic information that are accessible to or held by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 xml:space="preserve">assess the likelihood and potential damage of these threats, considering the sensitivity of the nonpublic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assess the sufficiency of policies, procedures, information systems, and other safeguards in place to manage these threats, taking into consideration threats in each relevant area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operations, including: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employee training and management;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information systems, including network and software design, and information classification, governance, processing, storage, transmission, and disposal;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(c)</w:t>
      </w:r>
      <w:r w:rsidRPr="00EB7E3C">
        <w:rPr>
          <w:rFonts w:cs="Times New Roman"/>
          <w:color w:val="000000" w:themeColor="text1"/>
          <w:u w:color="000000" w:themeColor="text1"/>
        </w:rPr>
        <w:tab/>
        <w:t>detecting, preventing, and responding to attacks, intrusions, or other systems failures; and</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(5)</w:t>
      </w:r>
      <w:r w:rsidRPr="00EB7E3C">
        <w:rPr>
          <w:rFonts w:cs="Times New Roman"/>
          <w:color w:val="000000" w:themeColor="text1"/>
          <w:u w:color="000000" w:themeColor="text1"/>
        </w:rPr>
        <w:tab/>
        <w:t>implement information safeguards to manage the threats identified in its ongoing assessment, and at least annually assess the effectiveness of the safeguards</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 key controls, systems, and procedures.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(D)</w:t>
      </w:r>
      <w:r w:rsidRPr="00EB7E3C">
        <w:rPr>
          <w:rFonts w:cs="Times New Roman"/>
          <w:color w:val="000000" w:themeColor="text1"/>
          <w:u w:color="000000" w:themeColor="text1"/>
        </w:rPr>
        <w:tab/>
        <w:t xml:space="preserve">Based on its risk assessment, the licensee shall: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design its information security program to mitigate the identified risks, commensurate with the size and complexity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activities, including its use of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providers, and the sensitivity of the nonpublic information used by the licensee or in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possession, custody, or control;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determine the appropriateness of and implement the following security measures: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placing access controls on information systems, including controls to authenticate and permit access only to authorized individuals to protect against the unauthorized acquisition of nonpublic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identifying and managing the data, personnel, devices, systems, and facilities that enable the organization to achieve business </w:t>
      </w:r>
      <w:r w:rsidRPr="00EB7E3C">
        <w:rPr>
          <w:rFonts w:cs="Times New Roman"/>
          <w:color w:val="000000" w:themeColor="text1"/>
          <w:u w:color="000000" w:themeColor="text1"/>
        </w:rPr>
        <w:lastRenderedPageBreak/>
        <w:t>purposes in accordance with their relative importance to business objectives and the organization</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risk strategy;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(c)</w:t>
      </w:r>
      <w:r w:rsidRPr="00EB7E3C">
        <w:rPr>
          <w:rFonts w:cs="Times New Roman"/>
          <w:color w:val="000000" w:themeColor="text1"/>
          <w:u w:color="000000" w:themeColor="text1"/>
        </w:rPr>
        <w:tab/>
        <w:t xml:space="preserve">restricting access at physical locations containing nonpublic information to authorized individuals;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(d)</w:t>
      </w:r>
      <w:r w:rsidRPr="00EB7E3C">
        <w:rPr>
          <w:rFonts w:cs="Times New Roman"/>
          <w:color w:val="000000" w:themeColor="text1"/>
          <w:u w:color="000000" w:themeColor="text1"/>
        </w:rPr>
        <w:tab/>
        <w:t xml:space="preserve">protecting by encryption or other appropriate means, all nonpublic information while being transmitted over an external network and all nonpublic information stored on a laptop computer or other portable computing or storage device or media;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(e)</w:t>
      </w:r>
      <w:r w:rsidRPr="00EB7E3C">
        <w:rPr>
          <w:rFonts w:cs="Times New Roman"/>
          <w:color w:val="000000" w:themeColor="text1"/>
          <w:u w:color="000000" w:themeColor="text1"/>
        </w:rPr>
        <w:tab/>
        <w:t>adopting secure development practices for in</w:t>
      </w:r>
      <w:r>
        <w:rPr>
          <w:rFonts w:cs="Times New Roman"/>
          <w:color w:val="000000" w:themeColor="text1"/>
          <w:u w:color="000000" w:themeColor="text1"/>
        </w:rPr>
        <w:noBreakHyphen/>
      </w:r>
      <w:r w:rsidRPr="00EB7E3C">
        <w:rPr>
          <w:rFonts w:cs="Times New Roman"/>
          <w:color w:val="000000" w:themeColor="text1"/>
          <w:u w:color="000000" w:themeColor="text1"/>
        </w:rPr>
        <w:t xml:space="preserve">house developed applications used by the licensee and procedures for evaluating, assessing, and testing the security of externally developed applications used by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(f)</w:t>
      </w:r>
      <w:r w:rsidRPr="00EB7E3C">
        <w:rPr>
          <w:rFonts w:cs="Times New Roman"/>
          <w:color w:val="000000" w:themeColor="text1"/>
          <w:u w:color="000000" w:themeColor="text1"/>
        </w:rPr>
        <w:tab/>
        <w:t>modifying the information system in accordance with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information security program;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(g)</w:t>
      </w:r>
      <w:r w:rsidRPr="00EB7E3C">
        <w:rPr>
          <w:rFonts w:cs="Times New Roman"/>
          <w:color w:val="000000" w:themeColor="text1"/>
          <w:u w:color="000000" w:themeColor="text1"/>
        </w:rPr>
        <w:tab/>
        <w:t xml:space="preserve">utilizing effective controls, which may include multifactor authentication procedures for an individual accessing nonpublic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(h)</w:t>
      </w:r>
      <w:r w:rsidRPr="00EB7E3C">
        <w:rPr>
          <w:rFonts w:cs="Times New Roman"/>
          <w:color w:val="000000" w:themeColor="text1"/>
          <w:u w:color="000000" w:themeColor="text1"/>
        </w:rPr>
        <w:tab/>
        <w:t xml:space="preserve">regularly testing and monitoring systems and procedures to detect actual and attempted attacks on, or intrusions into, information systems;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 xml:space="preserve">(i) </w:t>
      </w:r>
      <w:r w:rsidRPr="00EB7E3C">
        <w:rPr>
          <w:rFonts w:cs="Times New Roman"/>
          <w:color w:val="000000" w:themeColor="text1"/>
          <w:u w:color="000000" w:themeColor="text1"/>
        </w:rPr>
        <w:tab/>
        <w:t xml:space="preserve">including audit trails within the information security program designed to detect and respond to cybersecurity events and designed to reconstruct material financial transactions sufficient to support normal operations and obligations of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 xml:space="preserve">(j) </w:t>
      </w:r>
      <w:r w:rsidRPr="00EB7E3C">
        <w:rPr>
          <w:rFonts w:cs="Times New Roman"/>
          <w:color w:val="000000" w:themeColor="text1"/>
          <w:u w:color="000000" w:themeColor="text1"/>
        </w:rPr>
        <w:tab/>
        <w:t xml:space="preserve">implementing measures to protect against destruction, loss, or damage of nonpublic information due to environmental hazards such as fire and water damage or other catastrophes or technological failures;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(k)</w:t>
      </w:r>
      <w:r w:rsidRPr="00EB7E3C">
        <w:rPr>
          <w:rFonts w:cs="Times New Roman"/>
          <w:color w:val="000000" w:themeColor="text1"/>
          <w:u w:color="000000" w:themeColor="text1"/>
        </w:rPr>
        <w:tab/>
        <w:t>developing, implementing, and maintaining procedures for the secure disposal of nonpublic information in any format;</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include cybersecurity risks in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enterprise risk management process;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 xml:space="preserve">stay informed regarding emerging threats or vulnerabilities and use reasonable security measures when sharing information relative to the character of the sharing and the type of information shared;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(5)</w:t>
      </w:r>
      <w:r w:rsidRPr="00EB7E3C">
        <w:rPr>
          <w:rFonts w:cs="Times New Roman"/>
          <w:color w:val="000000" w:themeColor="text1"/>
          <w:u w:color="000000" w:themeColor="text1"/>
        </w:rPr>
        <w:tab/>
        <w:t>provide its personnel with cybersecurity awareness training that is updated as necessary to reflect risks identified by the licensee in the risk assessment.</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(E)(1)</w:t>
      </w:r>
      <w:r w:rsidRPr="00EB7E3C">
        <w:rPr>
          <w:rFonts w:cs="Times New Roman"/>
          <w:color w:val="000000" w:themeColor="text1"/>
          <w:u w:color="000000" w:themeColor="text1"/>
        </w:rPr>
        <w:tab/>
        <w:t>If the licensee has a board of directors, the board or an appropriate committee of the board shall, at a minimum:</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require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executive management or its delegates to develop, implement, and maintain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information security program; and</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require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executive management or its delegates to report in writing at least annually: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 xml:space="preserve">(i) </w:t>
      </w:r>
      <w:r w:rsidRPr="00EB7E3C">
        <w:rPr>
          <w:rFonts w:cs="Times New Roman"/>
          <w:color w:val="000000" w:themeColor="text1"/>
          <w:u w:color="000000" w:themeColor="text1"/>
        </w:rPr>
        <w:tab/>
        <w:t>the overall status of the information security program and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compliance with this chapter;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(ii)</w:t>
      </w:r>
      <w:r w:rsidRPr="00EB7E3C">
        <w:rPr>
          <w:rFonts w:cs="Times New Roman"/>
          <w:color w:val="000000" w:themeColor="text1"/>
          <w:u w:color="000000" w:themeColor="text1"/>
        </w:rPr>
        <w:tab/>
        <w:t>material matters related to the information security program addressing issues such as risk assessment, risk management and control decisions,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 arrangements, testing results, cybersecurity events or violations and management</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responses, and recommendations for changes in the information security program.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If the executive management of a licensee delegates any of its responsibilities under this chapter, it shall oversee the development, implementation, and maintenance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information security program prepared by the delegates and receive a report from the delegates which must comply with the requirements of the report to the board of directors.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(F)</w:t>
      </w:r>
      <w:r w:rsidRPr="00EB7E3C">
        <w:rPr>
          <w:rFonts w:cs="Times New Roman"/>
          <w:color w:val="000000" w:themeColor="text1"/>
          <w:u w:color="000000" w:themeColor="text1"/>
        </w:rPr>
        <w:tab/>
        <w:t xml:space="preserve">A licensee shall: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exercise due diligence in selecting its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require a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 to implement appropriate administrative, technical, and physical measures to protect and secure the information systems and nonpublic information that are accessible to, or held by, the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(G)</w:t>
      </w:r>
      <w:r w:rsidRPr="00EB7E3C">
        <w:rPr>
          <w:rFonts w:cs="Times New Roman"/>
          <w:color w:val="000000" w:themeColor="text1"/>
          <w:u w:color="000000" w:themeColor="text1"/>
        </w:rPr>
        <w:tab/>
        <w:t>The licensee shall monitor, evaluate and adjust the information security program consistent with any relevant changes in technology, the sensitivity of its nonpublic information, internal or external threats to information, and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own changing business arrangements including, but not limited to, mergers and acquisitions, alliances and joint ventures, outsourcing arrangements, and changes to information systems.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(H)(1)</w:t>
      </w:r>
      <w:r w:rsidRPr="00EB7E3C">
        <w:rPr>
          <w:rFonts w:cs="Times New Roman"/>
          <w:color w:val="000000" w:themeColor="text1"/>
          <w:u w:color="000000" w:themeColor="text1"/>
        </w:rPr>
        <w:tab/>
        <w:t>As part of its information security program, a licensee must establish a written incident response plan designed to promptly respond to, and recover from, a cybersecurity event that compromises the confidentiality, integrity, or availability of nonpublic information in its possession,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information systems, or the continuing functionality of any aspect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business or operations.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An incident response plan required in item (1) must address: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the internal process for responding to a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the goals of the incident response plan;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(c)</w:t>
      </w:r>
      <w:r w:rsidRPr="00EB7E3C">
        <w:rPr>
          <w:rFonts w:cs="Times New Roman"/>
          <w:color w:val="000000" w:themeColor="text1"/>
          <w:u w:color="000000" w:themeColor="text1"/>
        </w:rPr>
        <w:tab/>
        <w:t>the definition of clear roles, responsibilities and levels of decision</w:t>
      </w:r>
      <w:r>
        <w:rPr>
          <w:rFonts w:cs="Times New Roman"/>
          <w:color w:val="000000" w:themeColor="text1"/>
          <w:u w:color="000000" w:themeColor="text1"/>
        </w:rPr>
        <w:noBreakHyphen/>
      </w:r>
      <w:r w:rsidRPr="00EB7E3C">
        <w:rPr>
          <w:rFonts w:cs="Times New Roman"/>
          <w:color w:val="000000" w:themeColor="text1"/>
          <w:u w:color="000000" w:themeColor="text1"/>
        </w:rPr>
        <w:t xml:space="preserve">making authority;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(d)</w:t>
      </w:r>
      <w:r w:rsidRPr="00EB7E3C">
        <w:rPr>
          <w:rFonts w:cs="Times New Roman"/>
          <w:color w:val="000000" w:themeColor="text1"/>
          <w:u w:color="000000" w:themeColor="text1"/>
        </w:rPr>
        <w:tab/>
        <w:t xml:space="preserve">external and internal communications and information sharing;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r>
      <w:r w:rsidRPr="00EB7E3C">
        <w:rPr>
          <w:rFonts w:cs="Times New Roman"/>
          <w:color w:val="000000" w:themeColor="text1"/>
          <w:u w:color="000000" w:themeColor="text1"/>
        </w:rPr>
        <w:tab/>
        <w:t>(e)</w:t>
      </w:r>
      <w:r w:rsidRPr="00EB7E3C">
        <w:rPr>
          <w:rFonts w:cs="Times New Roman"/>
          <w:color w:val="000000" w:themeColor="text1"/>
          <w:u w:color="000000" w:themeColor="text1"/>
        </w:rPr>
        <w:tab/>
        <w:t xml:space="preserve">identification of requirements for the remediation of any identified weaknesses in information systems and associated controls;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(f)</w:t>
      </w:r>
      <w:r w:rsidRPr="00EB7E3C">
        <w:rPr>
          <w:rFonts w:cs="Times New Roman"/>
          <w:color w:val="000000" w:themeColor="text1"/>
          <w:u w:color="000000" w:themeColor="text1"/>
        </w:rPr>
        <w:tab/>
        <w:t xml:space="preserve">documentation and reporting regarding cybersecurity events and related incident response activities;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(g)</w:t>
      </w:r>
      <w:r w:rsidRPr="00EB7E3C">
        <w:rPr>
          <w:rFonts w:cs="Times New Roman"/>
          <w:color w:val="000000" w:themeColor="text1"/>
          <w:u w:color="000000" w:themeColor="text1"/>
        </w:rPr>
        <w:tab/>
        <w:t xml:space="preserve">the evaluation and revision as necessary of the incident response plan following a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(I)</w:t>
      </w:r>
      <w:r w:rsidRPr="00EB7E3C">
        <w:rPr>
          <w:rFonts w:cs="Times New Roman"/>
          <w:color w:val="000000" w:themeColor="text1"/>
          <w:u w:color="000000" w:themeColor="text1"/>
        </w:rPr>
        <w:tab/>
        <w:t>Annually, each insurer domiciled in this State shall submit to the director, a written statement by February fifteenth, certifying that the insurer is in compliance with the requirements set forth in this section. Each insurer shall maintain for examination by the department all records, schedules</w:t>
      </w:r>
      <w:r>
        <w:rPr>
          <w:rFonts w:cs="Times New Roman"/>
          <w:color w:val="000000" w:themeColor="text1"/>
          <w:u w:color="000000" w:themeColor="text1"/>
        </w:rPr>
        <w:t>,</w:t>
      </w:r>
      <w:r w:rsidRPr="00EB7E3C">
        <w:rPr>
          <w:rFonts w:cs="Times New Roman"/>
          <w:color w:val="000000" w:themeColor="text1"/>
          <w:u w:color="000000" w:themeColor="text1"/>
        </w:rPr>
        <w:t xml:space="preserve"> and data supporting this certificate for a period of five years. To the extent an insurer has identified areas, systems, or processes that require material improvement, updating or redesign, the insurer shall document the identification and the remedial efforts planned and underway to address such areas, systems, or processes. Such documentation must be available for inspection by the director.</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30.</w:t>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If a licensee learns that a cybersecurity event has occurred or may have occurred, the licensee, an outside vendor, or service provider designated to act on behalf of the licensee must conduct a prompt investigation of the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During the investigation, the licensee, outside vendor, or service provider designated to act on behalf of the licensee shall, at a minimum: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determine whether a cybersecurity event occurred;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assess the nature and scope of the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 xml:space="preserve">identify nonpublic information that may have been involved in the cybersecurity event;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perform or oversee reasonable measures to restore the security of the information systems compromised in the cybersecurity event in order to prevent further unauthorized acquisition, release, or use of nonpublic information in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possession, custody, or control.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(C)</w:t>
      </w:r>
      <w:r w:rsidRPr="00EB7E3C">
        <w:rPr>
          <w:rFonts w:cs="Times New Roman"/>
          <w:color w:val="000000" w:themeColor="text1"/>
          <w:u w:color="000000" w:themeColor="text1"/>
        </w:rPr>
        <w:tab/>
        <w:t>If the licensee learns that a cybersecurity event has occurred or may have occurred in a system maintained by a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 the licensee shall complete an investigation pursuant to the requirements of this section or confirm and document that the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has completed an investigation pursuant to the requirements of this section.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(D)</w:t>
      </w:r>
      <w:r w:rsidRPr="00EB7E3C">
        <w:rPr>
          <w:rFonts w:cs="Times New Roman"/>
          <w:color w:val="000000" w:themeColor="text1"/>
          <w:u w:color="000000" w:themeColor="text1"/>
        </w:rPr>
        <w:tab/>
        <w:t xml:space="preserve">The licensee shall maintain records concerning all cybersecurity events for a period of at least five years from the date of the cybersecurity event and produce those records upon demand of the director.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40.</w:t>
      </w:r>
      <w:r w:rsidRPr="00EB7E3C">
        <w:rPr>
          <w:rFonts w:cs="Times New Roman"/>
          <w:color w:val="000000" w:themeColor="text1"/>
          <w:u w:color="000000" w:themeColor="text1"/>
        </w:rPr>
        <w:tab/>
        <w:t>(A)</w:t>
      </w:r>
      <w:r w:rsidRPr="00EB7E3C">
        <w:rPr>
          <w:rFonts w:cs="Times New Roman"/>
          <w:color w:val="000000" w:themeColor="text1"/>
          <w:u w:color="000000" w:themeColor="text1"/>
        </w:rPr>
        <w:tab/>
        <w:t>A licensee shall notify the director no later than seventy</w:t>
      </w:r>
      <w:r>
        <w:rPr>
          <w:rFonts w:cs="Times New Roman"/>
          <w:color w:val="000000" w:themeColor="text1"/>
          <w:u w:color="000000" w:themeColor="text1"/>
        </w:rPr>
        <w:noBreakHyphen/>
      </w:r>
      <w:r w:rsidRPr="00EB7E3C">
        <w:rPr>
          <w:rFonts w:cs="Times New Roman"/>
          <w:color w:val="000000" w:themeColor="text1"/>
          <w:u w:color="000000" w:themeColor="text1"/>
        </w:rPr>
        <w:t xml:space="preserve">two hours after determining that a cybersecurity event has occurred when either of the following criteria are met: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South Carolina is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state of domicile in the case of an insurer, or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home state in the case of a producer;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the licensee reasonably believes that the nonpublic information involved is of no less than two hundred and fifty consumers residing in this State, and the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(a)</w:t>
      </w:r>
      <w:r w:rsidRPr="00EB7E3C">
        <w:rPr>
          <w:rFonts w:cs="Times New Roman"/>
          <w:color w:val="000000" w:themeColor="text1"/>
          <w:u w:color="000000" w:themeColor="text1"/>
        </w:rPr>
        <w:tab/>
        <w:t>impacts the licensee of which notice is required to be provided to any governmental body, self</w:t>
      </w:r>
      <w:r>
        <w:rPr>
          <w:rFonts w:cs="Times New Roman"/>
          <w:color w:val="000000" w:themeColor="text1"/>
          <w:u w:color="000000" w:themeColor="text1"/>
        </w:rPr>
        <w:noBreakHyphen/>
      </w:r>
      <w:r w:rsidRPr="00EB7E3C">
        <w:rPr>
          <w:rFonts w:cs="Times New Roman"/>
          <w:color w:val="000000" w:themeColor="text1"/>
          <w:u w:color="000000" w:themeColor="text1"/>
        </w:rPr>
        <w:t xml:space="preserve">regulatory agency, or any other supervisory body pursuant to state or federal law; 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has a reasonable likelihood of materially harming a consumer residing in this State or a material part of the normal operations of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The licensee shall provide as much of the following information as possible. The licensee shall provide the information in electronic form as directed by the director. The licensee shall have a continuing obligation to update and supplement initial and subsequent notifications to the director concerning the cybersecurity event. The information sent to the director must include:</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the date of the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a description of how the information was exposed, lost, stolen, or breached, including the specific roles and responsibilities of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providers, if any;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 xml:space="preserve">how the cybersecurity event was discovered;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 xml:space="preserve">whether any lost, stolen, or breached information has been recovered and if so, how this was done;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(5)</w:t>
      </w:r>
      <w:r w:rsidRPr="00EB7E3C">
        <w:rPr>
          <w:rFonts w:cs="Times New Roman"/>
          <w:color w:val="000000" w:themeColor="text1"/>
          <w:u w:color="000000" w:themeColor="text1"/>
        </w:rPr>
        <w:tab/>
        <w:t xml:space="preserve">the identity of the source of the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(6)</w:t>
      </w:r>
      <w:r w:rsidRPr="00EB7E3C">
        <w:rPr>
          <w:rFonts w:cs="Times New Roman"/>
          <w:color w:val="000000" w:themeColor="text1"/>
          <w:u w:color="000000" w:themeColor="text1"/>
        </w:rPr>
        <w:tab/>
        <w:t xml:space="preserve">whether the licensee has filed a police report or has notified any regulatory, governmental or law enforcement agencies and, if so, when such notification was provided;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(7)</w:t>
      </w:r>
      <w:r w:rsidRPr="00EB7E3C">
        <w:rPr>
          <w:rFonts w:cs="Times New Roman"/>
          <w:color w:val="000000" w:themeColor="text1"/>
          <w:u w:color="000000" w:themeColor="text1"/>
        </w:rPr>
        <w:tab/>
        <w:t xml:space="preserve">a description of the specific types of information acquired without authorization, which means particular data elements including, for example, types of medical information, types of financial information, or types of information allowing identification of the consumer;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(8)</w:t>
      </w:r>
      <w:r w:rsidRPr="00EB7E3C">
        <w:rPr>
          <w:rFonts w:cs="Times New Roman"/>
          <w:color w:val="000000" w:themeColor="text1"/>
          <w:u w:color="000000" w:themeColor="text1"/>
        </w:rPr>
        <w:tab/>
        <w:t xml:space="preserve">the period during which the information system was compromised by the cybersecurity event;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(9)</w:t>
      </w:r>
      <w:r w:rsidRPr="00EB7E3C">
        <w:rPr>
          <w:rFonts w:cs="Times New Roman"/>
          <w:color w:val="000000" w:themeColor="text1"/>
          <w:u w:color="000000" w:themeColor="text1"/>
        </w:rPr>
        <w:tab/>
        <w:t xml:space="preserve">the number of total consumers in this State affected by the cybersecurity event, in which case the licensee shall provide the best estimate in the initial report to the director and update this estimate with each subsequent report to the director pursuant to this section;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t>(10)</w:t>
      </w:r>
      <w:r w:rsidRPr="00EB7E3C">
        <w:rPr>
          <w:rFonts w:cs="Times New Roman"/>
          <w:color w:val="000000" w:themeColor="text1"/>
          <w:u w:color="000000" w:themeColor="text1"/>
        </w:rPr>
        <w:tab/>
        <w:t xml:space="preserve">the results of any internal review identifying a lapse in either automated controls or internal procedures, or confirming that all automated controls or internal procedures were followed;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(11)</w:t>
      </w:r>
      <w:r w:rsidRPr="00EB7E3C">
        <w:rPr>
          <w:rFonts w:cs="Times New Roman"/>
          <w:color w:val="000000" w:themeColor="text1"/>
          <w:u w:color="000000" w:themeColor="text1"/>
        </w:rPr>
        <w:tab/>
        <w:t xml:space="preserve">a description of efforts being undertaken to remediate the situation which permitted the cybersecurity event to occur;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(12)</w:t>
      </w:r>
      <w:r w:rsidRPr="00EB7E3C">
        <w:rPr>
          <w:rFonts w:cs="Times New Roman"/>
          <w:color w:val="000000" w:themeColor="text1"/>
          <w:u w:color="000000" w:themeColor="text1"/>
        </w:rPr>
        <w:tab/>
        <w:t>a copy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privacy policy and a statement outlining the steps the licensee will take to investigate and notify consumers affected by the cybersecurity event;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(13)</w:t>
      </w:r>
      <w:r w:rsidRPr="00EB7E3C">
        <w:rPr>
          <w:rFonts w:cs="Times New Roman"/>
          <w:color w:val="000000" w:themeColor="text1"/>
          <w:u w:color="000000" w:themeColor="text1"/>
        </w:rPr>
        <w:tab/>
        <w:t xml:space="preserve">the name of a contact person who is both familiar with the cybersecurity event and authorized to act on behalf of the licensee.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(C)</w:t>
      </w:r>
      <w:r w:rsidRPr="00EB7E3C">
        <w:rPr>
          <w:rFonts w:cs="Times New Roman"/>
          <w:color w:val="000000" w:themeColor="text1"/>
          <w:u w:color="000000" w:themeColor="text1"/>
        </w:rPr>
        <w:tab/>
        <w:t>A licensee shall comply with the notice requirements of Section 39</w:t>
      </w:r>
      <w:r>
        <w:rPr>
          <w:rFonts w:cs="Times New Roman"/>
          <w:color w:val="000000" w:themeColor="text1"/>
          <w:u w:color="000000" w:themeColor="text1"/>
        </w:rPr>
        <w:noBreakHyphen/>
      </w:r>
      <w:r w:rsidRPr="00EB7E3C">
        <w:rPr>
          <w:rFonts w:cs="Times New Roman"/>
          <w:color w:val="000000" w:themeColor="text1"/>
          <w:u w:color="000000" w:themeColor="text1"/>
        </w:rPr>
        <w:t>1</w:t>
      </w:r>
      <w:r>
        <w:rPr>
          <w:rFonts w:cs="Times New Roman"/>
          <w:color w:val="000000" w:themeColor="text1"/>
          <w:u w:color="000000" w:themeColor="text1"/>
        </w:rPr>
        <w:noBreakHyphen/>
      </w:r>
      <w:r w:rsidRPr="00EB7E3C">
        <w:rPr>
          <w:rFonts w:cs="Times New Roman"/>
          <w:color w:val="000000" w:themeColor="text1"/>
          <w:u w:color="000000" w:themeColor="text1"/>
        </w:rPr>
        <w:t xml:space="preserve">90, and other applicable law and provide a copy of the notice sent to consumers to the director when a licensee is required to notify the director.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(D)(1)</w:t>
      </w:r>
      <w:r w:rsidRPr="00EB7E3C">
        <w:rPr>
          <w:rFonts w:cs="Times New Roman"/>
          <w:color w:val="000000" w:themeColor="text1"/>
          <w:u w:color="000000" w:themeColor="text1"/>
        </w:rPr>
        <w:tab/>
        <w:t>In the case of a cybersecurity event in a system maintained by a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of which the licensee has become aware, the licensee shall treat such event as it would under subsection (A).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The computation of the licensee</w:t>
      </w:r>
      <w:r w:rsidRPr="00562D8E">
        <w:rPr>
          <w:rFonts w:cs="Times New Roman"/>
          <w:color w:val="000000" w:themeColor="text1"/>
          <w:u w:color="000000" w:themeColor="text1"/>
        </w:rPr>
        <w:t>’</w:t>
      </w:r>
      <w:r w:rsidRPr="00EB7E3C">
        <w:rPr>
          <w:rFonts w:cs="Times New Roman"/>
          <w:color w:val="000000" w:themeColor="text1"/>
          <w:u w:color="000000" w:themeColor="text1"/>
        </w:rPr>
        <w:t>s deadlines shall begin on the day after the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notifies the licensee of the cybersecurity event or the licensee otherwise has actual knowledge of the cybersecurity event, whichever is sooner.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Nothing in this chapter shall prevent or abrogate an agreement between a licensee and another licensee, a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 or any other party to fulfill any of the investigation requirements or notice requirements imposed under this chapter.</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(E)(1)(a)</w:t>
      </w:r>
      <w:r w:rsidRPr="00EB7E3C">
        <w:rPr>
          <w:rFonts w:cs="Times New Roman"/>
          <w:color w:val="000000" w:themeColor="text1"/>
          <w:u w:color="000000" w:themeColor="text1"/>
        </w:rPr>
        <w:tab/>
        <w:t>In the case of a cybersecurity event involving nonpublic information used by the licensee who is acting as an assuming insurer or in the possession, custody, or control of a licensee who is acting as an assuming insurer and that does not have a direct contractual relationship with the affected consumers, the assuming insurer shall notify its affected ceding insurers and the director of its state of domicile within seventy</w:t>
      </w:r>
      <w:r>
        <w:rPr>
          <w:rFonts w:cs="Times New Roman"/>
          <w:color w:val="000000" w:themeColor="text1"/>
          <w:u w:color="000000" w:themeColor="text1"/>
        </w:rPr>
        <w:noBreakHyphen/>
      </w:r>
      <w:r w:rsidRPr="00EB7E3C">
        <w:rPr>
          <w:rFonts w:cs="Times New Roman"/>
          <w:color w:val="000000" w:themeColor="text1"/>
          <w:u w:color="000000" w:themeColor="text1"/>
        </w:rPr>
        <w:t xml:space="preserve">two hours of making the determination that a cybersecurity event has occurred.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A ceding insurer that has a direct contractual relationship with affected consumers shall fulfill the consumer notification requirements imposed under Section 39</w:t>
      </w:r>
      <w:r>
        <w:rPr>
          <w:rFonts w:cs="Times New Roman"/>
          <w:color w:val="000000" w:themeColor="text1"/>
          <w:u w:color="000000" w:themeColor="text1"/>
        </w:rPr>
        <w:noBreakHyphen/>
      </w:r>
      <w:r w:rsidRPr="00EB7E3C">
        <w:rPr>
          <w:rFonts w:cs="Times New Roman"/>
          <w:color w:val="000000" w:themeColor="text1"/>
          <w:u w:color="000000" w:themeColor="text1"/>
        </w:rPr>
        <w:t>1</w:t>
      </w:r>
      <w:r>
        <w:rPr>
          <w:rFonts w:cs="Times New Roman"/>
          <w:color w:val="000000" w:themeColor="text1"/>
          <w:u w:color="000000" w:themeColor="text1"/>
        </w:rPr>
        <w:noBreakHyphen/>
      </w:r>
      <w:r w:rsidRPr="00EB7E3C">
        <w:rPr>
          <w:rFonts w:cs="Times New Roman"/>
          <w:color w:val="000000" w:themeColor="text1"/>
          <w:u w:color="000000" w:themeColor="text1"/>
        </w:rPr>
        <w:t xml:space="preserve">90, and other notification requirements relating to a cybersecurity event imposed under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(2)(a)</w:t>
      </w:r>
      <w:r w:rsidRPr="00EB7E3C">
        <w:rPr>
          <w:rFonts w:cs="Times New Roman"/>
          <w:color w:val="000000" w:themeColor="text1"/>
          <w:u w:color="000000" w:themeColor="text1"/>
        </w:rPr>
        <w:tab/>
        <w:t>In the case of a cybersecurity event involving nonpublic information that is in the possession, custody, or control of a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of a licensee who is an assuming insurer, the assuming insurer shall notify its affected ceding insurers and the director of its state </w:t>
      </w:r>
      <w:r w:rsidRPr="00EB7E3C">
        <w:rPr>
          <w:rFonts w:cs="Times New Roman"/>
          <w:color w:val="000000" w:themeColor="text1"/>
          <w:u w:color="000000" w:themeColor="text1"/>
        </w:rPr>
        <w:lastRenderedPageBreak/>
        <w:t>of domicile within seventy</w:t>
      </w:r>
      <w:r>
        <w:rPr>
          <w:rFonts w:cs="Times New Roman"/>
          <w:color w:val="000000" w:themeColor="text1"/>
          <w:u w:color="000000" w:themeColor="text1"/>
        </w:rPr>
        <w:noBreakHyphen/>
      </w:r>
      <w:r w:rsidRPr="00EB7E3C">
        <w:rPr>
          <w:rFonts w:cs="Times New Roman"/>
          <w:color w:val="000000" w:themeColor="text1"/>
          <w:u w:color="000000" w:themeColor="text1"/>
        </w:rPr>
        <w:t>two hours after receiving notice from its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service provider that a cybersecurity event has occurred.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r>
      <w:r w:rsidRPr="00EB7E3C">
        <w:rPr>
          <w:rFonts w:cs="Times New Roman"/>
          <w:color w:val="000000" w:themeColor="text1"/>
          <w:u w:color="000000" w:themeColor="text1"/>
        </w:rPr>
        <w:tab/>
        <w:t>(b)</w:t>
      </w:r>
      <w:r w:rsidRPr="00EB7E3C">
        <w:rPr>
          <w:rFonts w:cs="Times New Roman"/>
          <w:color w:val="000000" w:themeColor="text1"/>
          <w:u w:color="000000" w:themeColor="text1"/>
        </w:rPr>
        <w:tab/>
        <w:t>A ceding insurer that has a direct contractual relationship with affected consumers shall fulfill the consumer notification requirements of Section 39</w:t>
      </w:r>
      <w:r>
        <w:rPr>
          <w:rFonts w:cs="Times New Roman"/>
          <w:color w:val="000000" w:themeColor="text1"/>
          <w:u w:color="000000" w:themeColor="text1"/>
        </w:rPr>
        <w:noBreakHyphen/>
      </w:r>
      <w:r w:rsidRPr="00EB7E3C">
        <w:rPr>
          <w:rFonts w:cs="Times New Roman"/>
          <w:color w:val="000000" w:themeColor="text1"/>
          <w:u w:color="000000" w:themeColor="text1"/>
        </w:rPr>
        <w:t>1</w:t>
      </w:r>
      <w:r>
        <w:rPr>
          <w:rFonts w:cs="Times New Roman"/>
          <w:color w:val="000000" w:themeColor="text1"/>
          <w:u w:color="000000" w:themeColor="text1"/>
        </w:rPr>
        <w:noBreakHyphen/>
      </w:r>
      <w:r w:rsidRPr="00EB7E3C">
        <w:rPr>
          <w:rFonts w:cs="Times New Roman"/>
          <w:color w:val="000000" w:themeColor="text1"/>
          <w:u w:color="000000" w:themeColor="text1"/>
        </w:rPr>
        <w:t xml:space="preserve">90, and other notification requirements relating to a cybersecurity event imposed under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(F)</w:t>
      </w:r>
      <w:r w:rsidRPr="00EB7E3C">
        <w:rPr>
          <w:rFonts w:cs="Times New Roman"/>
          <w:color w:val="000000" w:themeColor="text1"/>
          <w:u w:color="000000" w:themeColor="text1"/>
        </w:rPr>
        <w:tab/>
        <w:t>In the case of a cybersecurity event involving nonpublic information that is in the possession, custody, or control of a licensee that is an insurer or its third</w:t>
      </w:r>
      <w:r>
        <w:rPr>
          <w:rFonts w:cs="Times New Roman"/>
          <w:color w:val="000000" w:themeColor="text1"/>
          <w:u w:color="000000" w:themeColor="text1"/>
        </w:rPr>
        <w:noBreakHyphen/>
      </w:r>
      <w:r w:rsidRPr="00EB7E3C">
        <w:rPr>
          <w:rFonts w:cs="Times New Roman"/>
          <w:color w:val="000000" w:themeColor="text1"/>
          <w:u w:color="000000" w:themeColor="text1"/>
        </w:rPr>
        <w:t>party service provider and for which a consumer accessed the insurer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services through an independent insurance producer, the insurer shall notify the producers of record of all affected consumers as soon as practicable as directed by the director. The insurer is excused from this obligation for those instances in which it does not have the current producer of record information for an individual consumer.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50.</w:t>
      </w:r>
      <w:r w:rsidRPr="00EB7E3C">
        <w:rPr>
          <w:rFonts w:cs="Times New Roman"/>
          <w:color w:val="000000" w:themeColor="text1"/>
          <w:u w:color="000000" w:themeColor="text1"/>
        </w:rPr>
        <w:tab/>
        <w:t>(A)</w:t>
      </w:r>
      <w:r w:rsidRPr="00EB7E3C">
        <w:rPr>
          <w:rFonts w:cs="Times New Roman"/>
          <w:color w:val="000000" w:themeColor="text1"/>
          <w:u w:color="000000" w:themeColor="text1"/>
        </w:rPr>
        <w:tab/>
        <w:t>The director has the power and authority to examine and investigate into the affairs of a licensee to determine whether the licensee is engaged in conduct in violation of this chapter. This power is in addition to the powers which the director has under this title. An investigation or examination must be conducted pursuant to Section 38</w:t>
      </w:r>
      <w:r>
        <w:rPr>
          <w:rFonts w:cs="Times New Roman"/>
          <w:color w:val="000000" w:themeColor="text1"/>
          <w:u w:color="000000" w:themeColor="text1"/>
        </w:rPr>
        <w:noBreakHyphen/>
      </w:r>
      <w:r w:rsidRPr="00EB7E3C">
        <w:rPr>
          <w:rFonts w:cs="Times New Roman"/>
          <w:color w:val="000000" w:themeColor="text1"/>
          <w:u w:color="000000" w:themeColor="text1"/>
        </w:rPr>
        <w:t>13</w:t>
      </w:r>
      <w:r>
        <w:rPr>
          <w:rFonts w:cs="Times New Roman"/>
          <w:color w:val="000000" w:themeColor="text1"/>
          <w:u w:color="000000" w:themeColor="text1"/>
        </w:rPr>
        <w:noBreakHyphen/>
      </w:r>
      <w:r w:rsidRPr="00EB7E3C">
        <w:rPr>
          <w:rFonts w:cs="Times New Roman"/>
          <w:color w:val="000000" w:themeColor="text1"/>
          <w:u w:color="000000" w:themeColor="text1"/>
        </w:rPr>
        <w:t xml:space="preserve">10, et seq.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When the director has reason to believe that a licensee is engaged in conduct in this State which violates the provisions of this chapter, the director may take necessary and appropriate action to enforce the provisions of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60.</w:t>
      </w:r>
      <w:r w:rsidRPr="00EB7E3C">
        <w:rPr>
          <w:rFonts w:cs="Times New Roman"/>
          <w:color w:val="000000" w:themeColor="text1"/>
          <w:u w:color="000000" w:themeColor="text1"/>
        </w:rPr>
        <w:tab/>
        <w:t>(A)</w:t>
      </w:r>
      <w:r w:rsidRPr="00EB7E3C">
        <w:rPr>
          <w:rFonts w:cs="Times New Roman"/>
          <w:color w:val="000000" w:themeColor="text1"/>
          <w:u w:color="000000" w:themeColor="text1"/>
        </w:rPr>
        <w:tab/>
        <w:t>Documents, materials, or other information in the control or possession of the department that are furnished by a licensee or an employee or agent acting on behalf of a licensee, or obtained by the director in an investigation or examination are confidential by law and privileged, are not subject to disclosure under the Freedom of Information Act, and are not subject to subpoena or discovery in a private or civil action; and are not admissible as evidence in a private or civil action. However, the director is authorized to use the documents, materials, or other information in the furtherance of a regulatory or legal action brought as a part of the director</w:t>
      </w:r>
      <w:r w:rsidRPr="00562D8E">
        <w:rPr>
          <w:rFonts w:cs="Times New Roman"/>
          <w:color w:val="000000" w:themeColor="text1"/>
          <w:u w:color="000000" w:themeColor="text1"/>
        </w:rPr>
        <w:t>’</w:t>
      </w:r>
      <w:r w:rsidRPr="00EB7E3C">
        <w:rPr>
          <w:rFonts w:cs="Times New Roman"/>
          <w:color w:val="000000" w:themeColor="text1"/>
          <w:u w:color="000000" w:themeColor="text1"/>
        </w:rPr>
        <w:t xml:space="preserve">s duties.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The director or a person who received documents, materials, or other information while acting under the authority of the director may not be permitted or required to testify in a private civil action concerning confidential documents, materials, or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(C)</w:t>
      </w:r>
      <w:r w:rsidRPr="00EB7E3C">
        <w:rPr>
          <w:rFonts w:cs="Times New Roman"/>
          <w:color w:val="000000" w:themeColor="text1"/>
          <w:u w:color="000000" w:themeColor="text1"/>
        </w:rPr>
        <w:tab/>
        <w:t xml:space="preserve">To assist in the performance of his duties, the director may: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lastRenderedPageBreak/>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share documents, materials, or other information, including confidential and privileged documents, materials, or information, with other state, federal, and international regulatory agencies the National Association of Insurance Commissioners, its affiliates or subsidiaries, and state, federal, and international law enforcement authorities, provided that the recipient agrees in writing to maintain the confidentiality and privileged status of the documents, materials, or other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maintain as confidential or privileged any document, material, or information received with notice or the understanding that it is confidential or privileged under the laws of the jurisdiction that is the source of the document, material, or information;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share documents, materials, or other information with a third</w:t>
      </w:r>
      <w:r>
        <w:rPr>
          <w:rFonts w:cs="Times New Roman"/>
          <w:color w:val="000000" w:themeColor="text1"/>
          <w:u w:color="000000" w:themeColor="text1"/>
        </w:rPr>
        <w:noBreakHyphen/>
      </w:r>
      <w:r w:rsidRPr="00EB7E3C">
        <w:rPr>
          <w:rFonts w:cs="Times New Roman"/>
          <w:color w:val="000000" w:themeColor="text1"/>
          <w:u w:color="000000" w:themeColor="text1"/>
        </w:rPr>
        <w:t xml:space="preserve">party consultant or vendor, provided the consultant agrees in writing to maintain the confidentiality and privileged status of the document, material, or other information;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(4)</w:t>
      </w:r>
      <w:r w:rsidRPr="00EB7E3C">
        <w:rPr>
          <w:rFonts w:cs="Times New Roman"/>
          <w:color w:val="000000" w:themeColor="text1"/>
          <w:u w:color="000000" w:themeColor="text1"/>
        </w:rPr>
        <w:tab/>
        <w:t xml:space="preserve">enter into an agreement governing the sharing and use of information consistent with this subsection.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(D)</w:t>
      </w:r>
      <w:r w:rsidRPr="00EB7E3C">
        <w:rPr>
          <w:rFonts w:cs="Times New Roman"/>
          <w:color w:val="000000" w:themeColor="text1"/>
          <w:u w:color="000000" w:themeColor="text1"/>
        </w:rPr>
        <w:tab/>
        <w:t xml:space="preserve">No waiver of any applicable privilege or claim of confidentiality in the documents, materials, or information may occur from disclosure to the director under this section or sharing as authorized under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(E)</w:t>
      </w:r>
      <w:r w:rsidRPr="00EB7E3C">
        <w:rPr>
          <w:rFonts w:cs="Times New Roman"/>
          <w:color w:val="000000" w:themeColor="text1"/>
          <w:u w:color="000000" w:themeColor="text1"/>
        </w:rPr>
        <w:tab/>
        <w:t xml:space="preserve">Nothing in this chapter prohibits the director from releasing final, adjudicated actions that are open to public inspection to a database or other clearinghouse service maintained by the National Association of Insurance Commissioners, its affiliates, or subsidiaries.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70.</w:t>
      </w:r>
      <w:r w:rsidRPr="00EB7E3C">
        <w:rPr>
          <w:rFonts w:cs="Times New Roman"/>
          <w:color w:val="000000" w:themeColor="text1"/>
          <w:u w:color="000000" w:themeColor="text1"/>
        </w:rPr>
        <w:tab/>
        <w:t>(A)</w:t>
      </w:r>
      <w:r w:rsidRPr="00EB7E3C">
        <w:rPr>
          <w:rFonts w:cs="Times New Roman"/>
          <w:color w:val="000000" w:themeColor="text1"/>
          <w:u w:color="000000" w:themeColor="text1"/>
        </w:rPr>
        <w:tab/>
        <w:t xml:space="preserve">The following licensees are exempt from the provisions of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(1)</w:t>
      </w:r>
      <w:r w:rsidRPr="00EB7E3C">
        <w:rPr>
          <w:rFonts w:cs="Times New Roman"/>
          <w:color w:val="000000" w:themeColor="text1"/>
          <w:u w:color="000000" w:themeColor="text1"/>
        </w:rPr>
        <w:tab/>
        <w:t xml:space="preserve">a licensee with fewer than ten employees, including any independent contractors;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(2)</w:t>
      </w:r>
      <w:r w:rsidRPr="00EB7E3C">
        <w:rPr>
          <w:rFonts w:cs="Times New Roman"/>
          <w:color w:val="000000" w:themeColor="text1"/>
          <w:u w:color="000000" w:themeColor="text1"/>
        </w:rPr>
        <w:tab/>
        <w:t xml:space="preserve">an employee, agent, representative or designee of a licensee, who is also a licensee, is exempt from the provisions of this chapter and need not develop its own information security program to the extent that the employee, agent, representative or designee is covered by the information security program of the other licensee; and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r>
      <w:r w:rsidRPr="00EB7E3C">
        <w:rPr>
          <w:rFonts w:cs="Times New Roman"/>
          <w:color w:val="000000" w:themeColor="text1"/>
          <w:u w:color="000000" w:themeColor="text1"/>
        </w:rPr>
        <w:tab/>
        <w:t>(3)</w:t>
      </w:r>
      <w:r w:rsidRPr="00EB7E3C">
        <w:rPr>
          <w:rFonts w:cs="Times New Roman"/>
          <w:color w:val="000000" w:themeColor="text1"/>
          <w:u w:color="000000" w:themeColor="text1"/>
        </w:rPr>
        <w:tab/>
        <w:t>a licensee subject to the Health Insurance Portability and Accountability Act, Pub.L. 104</w:t>
      </w:r>
      <w:r>
        <w:rPr>
          <w:rFonts w:cs="Times New Roman"/>
          <w:color w:val="000000" w:themeColor="text1"/>
          <w:u w:color="000000" w:themeColor="text1"/>
        </w:rPr>
        <w:noBreakHyphen/>
      </w:r>
      <w:r w:rsidRPr="00EB7E3C">
        <w:rPr>
          <w:rFonts w:cs="Times New Roman"/>
          <w:color w:val="000000" w:themeColor="text1"/>
          <w:u w:color="000000" w:themeColor="text1"/>
        </w:rPr>
        <w:t xml:space="preserve">191, 110 Stat. 1936, that has established </w:t>
      </w:r>
      <w:r w:rsidRPr="00EB7E3C">
        <w:rPr>
          <w:rFonts w:cs="Times New Roman"/>
          <w:color w:val="000000" w:themeColor="text1"/>
          <w:u w:color="000000" w:themeColor="text1"/>
        </w:rPr>
        <w:lastRenderedPageBreak/>
        <w:t xml:space="preserve">and maintains an information security program pursuant to such statutes, rules, regulations, procedures or guidelines established thereunder, will be considered to meet the requirements of this chapter, provided that the licensee is compliant with, and submits a written statement certifying its compliance with, the provisions of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(B)</w:t>
      </w:r>
      <w:r w:rsidRPr="00EB7E3C">
        <w:rPr>
          <w:rFonts w:cs="Times New Roman"/>
          <w:color w:val="000000" w:themeColor="text1"/>
          <w:u w:color="000000" w:themeColor="text1"/>
        </w:rPr>
        <w:tab/>
        <w:t xml:space="preserve">In the event that a licensee ceases to qualify for an exception, such licensee shall have one hundred and eighty days to comply with this chapter.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80.</w:t>
      </w:r>
      <w:r w:rsidRPr="00EB7E3C">
        <w:rPr>
          <w:rFonts w:cs="Times New Roman"/>
          <w:color w:val="000000" w:themeColor="text1"/>
          <w:u w:color="000000" w:themeColor="text1"/>
        </w:rPr>
        <w:tab/>
        <w:t>A licensee who violates a provision of this chapter is subject to penalties as provided in Section 38</w:t>
      </w:r>
      <w:r>
        <w:rPr>
          <w:rFonts w:cs="Times New Roman"/>
          <w:color w:val="000000" w:themeColor="text1"/>
          <w:u w:color="000000" w:themeColor="text1"/>
        </w:rPr>
        <w:noBreakHyphen/>
      </w:r>
      <w:r w:rsidRPr="00EB7E3C">
        <w:rPr>
          <w:rFonts w:cs="Times New Roman"/>
          <w:color w:val="000000" w:themeColor="text1"/>
          <w:u w:color="000000" w:themeColor="text1"/>
        </w:rPr>
        <w:t>2</w:t>
      </w:r>
      <w:r>
        <w:rPr>
          <w:rFonts w:cs="Times New Roman"/>
          <w:color w:val="000000" w:themeColor="text1"/>
          <w:u w:color="000000" w:themeColor="text1"/>
        </w:rPr>
        <w:noBreakHyphen/>
      </w:r>
      <w:r w:rsidRPr="00EB7E3C">
        <w:rPr>
          <w:rFonts w:cs="Times New Roman"/>
          <w:color w:val="000000" w:themeColor="text1"/>
          <w:u w:color="000000" w:themeColor="text1"/>
        </w:rPr>
        <w:t xml:space="preserve">10.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ab/>
        <w:t>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90.</w:t>
      </w:r>
      <w:r w:rsidRPr="00EB7E3C">
        <w:rPr>
          <w:rFonts w:cs="Times New Roman"/>
          <w:color w:val="000000" w:themeColor="text1"/>
          <w:u w:color="000000" w:themeColor="text1"/>
        </w:rPr>
        <w:tab/>
        <w:t xml:space="preserve">The director is authorized to promulgate regulations necessary for the </w:t>
      </w:r>
      <w:r>
        <w:rPr>
          <w:rFonts w:cs="Times New Roman"/>
          <w:color w:val="000000" w:themeColor="text1"/>
          <w:u w:color="000000" w:themeColor="text1"/>
        </w:rPr>
        <w:t>administration of this chapter.</w:t>
      </w:r>
      <w:r w:rsidRPr="00EB7E3C">
        <w:rPr>
          <w:rFonts w:cs="Times New Roman"/>
          <w:color w:val="000000" w:themeColor="text1"/>
          <w:u w:color="000000" w:themeColor="text1"/>
        </w:rPr>
        <w:t xml:space="preserve"> </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rPr>
        <w:tab/>
        <w:t>Section 38</w:t>
      </w:r>
      <w:r>
        <w:rPr>
          <w:rFonts w:cs="Times New Roman"/>
        </w:rPr>
        <w:noBreakHyphen/>
      </w:r>
      <w:r w:rsidRPr="00EB7E3C">
        <w:rPr>
          <w:rFonts w:cs="Times New Roman"/>
        </w:rPr>
        <w:t>99</w:t>
      </w:r>
      <w:r>
        <w:rPr>
          <w:rFonts w:cs="Times New Roman"/>
        </w:rPr>
        <w:noBreakHyphen/>
      </w:r>
      <w:r w:rsidRPr="00EB7E3C">
        <w:rPr>
          <w:rFonts w:cs="Times New Roman"/>
        </w:rPr>
        <w:t>100.</w:t>
      </w:r>
      <w:r w:rsidRPr="00EB7E3C">
        <w:rPr>
          <w:rFonts w:cs="Times New Roman"/>
        </w:rPr>
        <w:tab/>
        <w:t>Nothing in this chapter creates any duty or liability for a provider of communication services for the transmission of voice, data, or other information over its network.</w:t>
      </w:r>
      <w:r>
        <w:rPr>
          <w:rFonts w:cs="Times New Roman"/>
        </w:rPr>
        <w:t>”</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562D8E"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Delayed implementation date</w:t>
      </w: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4.</w:t>
      </w:r>
      <w:r w:rsidRPr="00EB7E3C">
        <w:rPr>
          <w:rFonts w:cs="Times New Roman"/>
          <w:color w:val="000000" w:themeColor="text1"/>
          <w:u w:color="000000" w:themeColor="text1"/>
        </w:rPr>
        <w:tab/>
        <w:t>Licensees have until July 1, 2019, to implement 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20 of this act and until July 1, 2020, to implement Section 38</w:t>
      </w:r>
      <w:r>
        <w:rPr>
          <w:rFonts w:cs="Times New Roman"/>
          <w:color w:val="000000" w:themeColor="text1"/>
          <w:u w:color="000000" w:themeColor="text1"/>
        </w:rPr>
        <w:noBreakHyphen/>
      </w:r>
      <w:r w:rsidRPr="00EB7E3C">
        <w:rPr>
          <w:rFonts w:cs="Times New Roman"/>
          <w:color w:val="000000" w:themeColor="text1"/>
          <w:u w:color="000000" w:themeColor="text1"/>
        </w:rPr>
        <w:t>99</w:t>
      </w:r>
      <w:r>
        <w:rPr>
          <w:rFonts w:cs="Times New Roman"/>
          <w:color w:val="000000" w:themeColor="text1"/>
          <w:u w:color="000000" w:themeColor="text1"/>
        </w:rPr>
        <w:noBreakHyphen/>
      </w:r>
      <w:r w:rsidRPr="00EB7E3C">
        <w:rPr>
          <w:rFonts w:cs="Times New Roman"/>
          <w:color w:val="000000" w:themeColor="text1"/>
          <w:u w:color="000000" w:themeColor="text1"/>
        </w:rPr>
        <w:t xml:space="preserve">20(F) of this act. </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562D8E"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Severability </w:t>
      </w:r>
    </w:p>
    <w:p w:rsidR="0061376B" w:rsidRPr="00EB7E3C"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5.</w:t>
      </w:r>
      <w:r w:rsidRPr="00EB7E3C">
        <w:rPr>
          <w:rFonts w:cs="Times New Roman"/>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1376B" w:rsidRDefault="0061376B"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562D8E"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61376B" w:rsidRPr="00EB7E3C"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376B" w:rsidRPr="00EB7E3C"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7E3C">
        <w:rPr>
          <w:rFonts w:cs="Times New Roman"/>
          <w:color w:val="000000" w:themeColor="text1"/>
          <w:u w:color="000000" w:themeColor="text1"/>
        </w:rPr>
        <w:t>SECTION</w:t>
      </w:r>
      <w:r w:rsidRPr="00EB7E3C">
        <w:rPr>
          <w:rFonts w:cs="Times New Roman"/>
          <w:color w:val="000000" w:themeColor="text1"/>
          <w:u w:color="000000" w:themeColor="text1"/>
        </w:rPr>
        <w:tab/>
        <w:t>6.</w:t>
      </w:r>
      <w:r w:rsidRPr="00EB7E3C">
        <w:rPr>
          <w:rFonts w:cs="Times New Roman"/>
          <w:color w:val="000000" w:themeColor="text1"/>
          <w:u w:color="000000" w:themeColor="text1"/>
        </w:rPr>
        <w:tab/>
        <w:t xml:space="preserve">This act takes effect January 1, 2019. </w:t>
      </w:r>
    </w:p>
    <w:p w:rsidR="0061376B"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1376B" w:rsidRDefault="0061376B" w:rsidP="0061376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61376B" w:rsidRDefault="0061376B" w:rsidP="0061376B">
      <w:pPr>
        <w:jc w:val="both"/>
        <w:rPr>
          <w:color w:val="000000" w:themeColor="text1"/>
        </w:rPr>
      </w:pPr>
    </w:p>
    <w:p w:rsidR="0061376B" w:rsidRDefault="0061376B" w:rsidP="0061376B">
      <w:pPr>
        <w:jc w:val="both"/>
        <w:rPr>
          <w:color w:val="000000" w:themeColor="text1"/>
        </w:rPr>
      </w:pPr>
      <w:r>
        <w:rPr>
          <w:color w:val="000000" w:themeColor="text1"/>
        </w:rPr>
        <w:t>Approved the 3</w:t>
      </w:r>
      <w:r w:rsidRPr="00806DBF">
        <w:rPr>
          <w:color w:val="000000" w:themeColor="text1"/>
          <w:vertAlign w:val="superscript"/>
        </w:rPr>
        <w:t>rd</w:t>
      </w:r>
      <w:r>
        <w:rPr>
          <w:color w:val="000000" w:themeColor="text1"/>
        </w:rPr>
        <w:t xml:space="preserve"> day of May, 2018. </w:t>
      </w:r>
    </w:p>
    <w:p w:rsidR="0061376B" w:rsidRDefault="0061376B" w:rsidP="0061376B">
      <w:pPr>
        <w:jc w:val="center"/>
        <w:rPr>
          <w:color w:val="000000" w:themeColor="text1"/>
        </w:rPr>
      </w:pPr>
    </w:p>
    <w:p w:rsidR="0061376B" w:rsidRDefault="0061376B" w:rsidP="0061376B">
      <w:pPr>
        <w:jc w:val="center"/>
        <w:rPr>
          <w:color w:val="000000" w:themeColor="text1"/>
        </w:rPr>
      </w:pPr>
      <w:r>
        <w:rPr>
          <w:color w:val="000000" w:themeColor="text1"/>
        </w:rPr>
        <w:t>__________</w:t>
      </w:r>
    </w:p>
    <w:p w:rsidR="003567BF" w:rsidRPr="00374E83" w:rsidRDefault="003567BF" w:rsidP="006137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567BF" w:rsidRPr="00374E83" w:rsidSect="003567B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9C" w:rsidRDefault="006A0B9C" w:rsidP="007D5FAC">
      <w:r>
        <w:separator/>
      </w:r>
    </w:p>
  </w:endnote>
  <w:endnote w:type="continuationSeparator" w:id="0">
    <w:p w:rsidR="006A0B9C" w:rsidRDefault="006A0B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BF" w:rsidRPr="003567BF" w:rsidRDefault="003567BF" w:rsidP="003567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12B70">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BF" w:rsidRDefault="00356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9C" w:rsidRDefault="006A0B9C" w:rsidP="007D5FAC">
      <w:r>
        <w:separator/>
      </w:r>
    </w:p>
  </w:footnote>
  <w:footnote w:type="continuationSeparator" w:id="0">
    <w:p w:rsidR="006A0B9C" w:rsidRDefault="006A0B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55"/>
    <w:docVar w:name="ActSecretary" w:val="Downey"/>
    <w:docVar w:name="ActSIdno" w:val="(182)  4655CZ18"/>
    <w:docVar w:name="clipname" w:val="4655CZ18"/>
    <w:docVar w:name="dvBillNumber" w:val="4655"/>
    <w:docVar w:name="dvBillNumberPrefix" w:val="H"/>
    <w:docVar w:name="dvOriginalBody" w:val="House"/>
    <w:docVar w:name="HOUSEACTFULLPATH" w:val="L:\COUNCIL\ACTS\4655CZ18.DOCX"/>
    <w:docVar w:name="OrigHOUSEBillNo" w:val="4655"/>
    <w:docVar w:name="WhatActtype" w:val="AN ACT"/>
  </w:docVars>
  <w:rsids>
    <w:rsidRoot w:val="006A0B9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377"/>
    <w:rsid w:val="00096A9B"/>
    <w:rsid w:val="00096BDA"/>
    <w:rsid w:val="000A6151"/>
    <w:rsid w:val="000B316D"/>
    <w:rsid w:val="000B56CB"/>
    <w:rsid w:val="000D6F51"/>
    <w:rsid w:val="001030FE"/>
    <w:rsid w:val="001031AE"/>
    <w:rsid w:val="00103295"/>
    <w:rsid w:val="00103D2E"/>
    <w:rsid w:val="00103DCA"/>
    <w:rsid w:val="00104519"/>
    <w:rsid w:val="00106968"/>
    <w:rsid w:val="00114917"/>
    <w:rsid w:val="001237B9"/>
    <w:rsid w:val="00131CE5"/>
    <w:rsid w:val="00135DDF"/>
    <w:rsid w:val="00136AA0"/>
    <w:rsid w:val="00141278"/>
    <w:rsid w:val="00143DC7"/>
    <w:rsid w:val="0014525A"/>
    <w:rsid w:val="001626DB"/>
    <w:rsid w:val="00170C19"/>
    <w:rsid w:val="00170F30"/>
    <w:rsid w:val="00172771"/>
    <w:rsid w:val="001747A9"/>
    <w:rsid w:val="001750EA"/>
    <w:rsid w:val="001754BB"/>
    <w:rsid w:val="0018353C"/>
    <w:rsid w:val="00195F4E"/>
    <w:rsid w:val="001A646B"/>
    <w:rsid w:val="001A6737"/>
    <w:rsid w:val="001A75A0"/>
    <w:rsid w:val="001B201B"/>
    <w:rsid w:val="001B65B6"/>
    <w:rsid w:val="001B78F9"/>
    <w:rsid w:val="001B7FF5"/>
    <w:rsid w:val="001C390F"/>
    <w:rsid w:val="001C603D"/>
    <w:rsid w:val="001C6957"/>
    <w:rsid w:val="001D0755"/>
    <w:rsid w:val="001D0CA2"/>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E97"/>
    <w:rsid w:val="00254411"/>
    <w:rsid w:val="00254FFA"/>
    <w:rsid w:val="00257ACD"/>
    <w:rsid w:val="002710C8"/>
    <w:rsid w:val="00273EA7"/>
    <w:rsid w:val="00274843"/>
    <w:rsid w:val="00276491"/>
    <w:rsid w:val="00276CCF"/>
    <w:rsid w:val="00277C27"/>
    <w:rsid w:val="00280582"/>
    <w:rsid w:val="002806F4"/>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0511"/>
    <w:rsid w:val="0034356D"/>
    <w:rsid w:val="003567BF"/>
    <w:rsid w:val="00360108"/>
    <w:rsid w:val="00360D70"/>
    <w:rsid w:val="00364D3F"/>
    <w:rsid w:val="00366494"/>
    <w:rsid w:val="00370DA1"/>
    <w:rsid w:val="00372564"/>
    <w:rsid w:val="00372FF8"/>
    <w:rsid w:val="00374E83"/>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5B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D8E"/>
    <w:rsid w:val="005672F0"/>
    <w:rsid w:val="00567DC9"/>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76B"/>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0B9C"/>
    <w:rsid w:val="006A3DFC"/>
    <w:rsid w:val="006A4214"/>
    <w:rsid w:val="006A5B40"/>
    <w:rsid w:val="006A65C8"/>
    <w:rsid w:val="006A6F1D"/>
    <w:rsid w:val="006B263A"/>
    <w:rsid w:val="006B4FA6"/>
    <w:rsid w:val="006B72C8"/>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1F8B"/>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7270"/>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2772"/>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099A"/>
    <w:rsid w:val="009B0FA5"/>
    <w:rsid w:val="009B1F99"/>
    <w:rsid w:val="009B6EA6"/>
    <w:rsid w:val="009D0B32"/>
    <w:rsid w:val="009D335B"/>
    <w:rsid w:val="009D75E7"/>
    <w:rsid w:val="009F231A"/>
    <w:rsid w:val="009F37C4"/>
    <w:rsid w:val="009F42DA"/>
    <w:rsid w:val="009F5E10"/>
    <w:rsid w:val="00A03978"/>
    <w:rsid w:val="00A050C0"/>
    <w:rsid w:val="00A062DB"/>
    <w:rsid w:val="00A0781B"/>
    <w:rsid w:val="00A07F7B"/>
    <w:rsid w:val="00A14F94"/>
    <w:rsid w:val="00A23CED"/>
    <w:rsid w:val="00A25E64"/>
    <w:rsid w:val="00A26387"/>
    <w:rsid w:val="00A3022E"/>
    <w:rsid w:val="00A30BBA"/>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2BE"/>
    <w:rsid w:val="00B11270"/>
    <w:rsid w:val="00B12B70"/>
    <w:rsid w:val="00B13981"/>
    <w:rsid w:val="00B26B98"/>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52E"/>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977A6"/>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61BBE60-0E9F-46E8-8A91-1A56789B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567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977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67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D0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3.docx" TargetMode="External"/><Relationship Id="rId13" Type="http://schemas.openxmlformats.org/officeDocument/2006/relationships/hyperlink" Target="file:///h:\hj\20180207.docx" TargetMode="External"/><Relationship Id="rId18" Type="http://schemas.openxmlformats.org/officeDocument/2006/relationships/hyperlink" Target="file:///h:\sj\20180418.docx" TargetMode="External"/><Relationship Id="rId26" Type="http://schemas.openxmlformats.org/officeDocument/2006/relationships/hyperlink" Target="file:///p:\pprever\2017-18\4655_20180220.docx" TargetMode="External"/><Relationship Id="rId3" Type="http://schemas.openxmlformats.org/officeDocument/2006/relationships/settings" Target="settings.xml"/><Relationship Id="rId21" Type="http://schemas.openxmlformats.org/officeDocument/2006/relationships/hyperlink" Target="file:///p:\pprever\2017-18\4655_20180123.docx" TargetMode="External"/><Relationship Id="rId7" Type="http://schemas.openxmlformats.org/officeDocument/2006/relationships/hyperlink" Target="file:///h:\hj\20180123.docx" TargetMode="External"/><Relationship Id="rId12" Type="http://schemas.openxmlformats.org/officeDocument/2006/relationships/hyperlink" Target="file:///h:\hj\20180206.docx" TargetMode="External"/><Relationship Id="rId17" Type="http://schemas.openxmlformats.org/officeDocument/2006/relationships/hyperlink" Target="file:///h:\sj\20180322.docx" TargetMode="External"/><Relationship Id="rId25" Type="http://schemas.openxmlformats.org/officeDocument/2006/relationships/hyperlink" Target="file:///p:\pprever\2017-18\4655_20180207.docx" TargetMode="External"/><Relationship Id="rId2" Type="http://schemas.openxmlformats.org/officeDocument/2006/relationships/styles" Target="styles.xml"/><Relationship Id="rId16" Type="http://schemas.openxmlformats.org/officeDocument/2006/relationships/hyperlink" Target="file:///h:\sj\20180220.docx" TargetMode="External"/><Relationship Id="rId20" Type="http://schemas.openxmlformats.org/officeDocument/2006/relationships/hyperlink" Target="http://www.scstatehouse.gov/billsearch.php?billnumbers=4655&amp;session=122&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6.docx" TargetMode="External"/><Relationship Id="rId24" Type="http://schemas.openxmlformats.org/officeDocument/2006/relationships/hyperlink" Target="file:///p:\pprever\2017-18\4655_20180206.docx" TargetMode="External"/><Relationship Id="rId5" Type="http://schemas.openxmlformats.org/officeDocument/2006/relationships/footnotes" Target="footnotes.xml"/><Relationship Id="rId15" Type="http://schemas.openxmlformats.org/officeDocument/2006/relationships/hyperlink" Target="file:///h:\sj\20180207.docx" TargetMode="External"/><Relationship Id="rId23" Type="http://schemas.openxmlformats.org/officeDocument/2006/relationships/hyperlink" Target="file:///p:\pprever\2017-18\4655_20180202.docx" TargetMode="External"/><Relationship Id="rId28" Type="http://schemas.openxmlformats.org/officeDocument/2006/relationships/footer" Target="footer2.xml"/><Relationship Id="rId10" Type="http://schemas.openxmlformats.org/officeDocument/2006/relationships/hyperlink" Target="file:///h:\hj\20180206.docx" TargetMode="External"/><Relationship Id="rId19" Type="http://schemas.openxmlformats.org/officeDocument/2006/relationships/hyperlink" Target="file:///h:\sj\20180418.docx" TargetMode="External"/><Relationship Id="rId4" Type="http://schemas.openxmlformats.org/officeDocument/2006/relationships/webSettings" Target="webSettings.xml"/><Relationship Id="rId9" Type="http://schemas.openxmlformats.org/officeDocument/2006/relationships/hyperlink" Target="file:///h:\hj\20180201.docx" TargetMode="External"/><Relationship Id="rId14" Type="http://schemas.openxmlformats.org/officeDocument/2006/relationships/hyperlink" Target="file:///h:\sj\20180207.docx" TargetMode="External"/><Relationship Id="rId22" Type="http://schemas.openxmlformats.org/officeDocument/2006/relationships/hyperlink" Target="file:///p:\pprever\2017-18\4655_2018020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A061-59E8-4F16-82E2-62833B03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1</TotalTime>
  <Pages>16</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4655: SC Insurance Data Security Act - South Carolina Legislature Online</dc:title>
  <dc:subject/>
  <dc:creator>%USERNAME%</dc:creator>
  <cp:keywords/>
  <dc:description/>
  <cp:lastModifiedBy>Lavarres Lynch</cp:lastModifiedBy>
  <cp:revision>2</cp:revision>
  <dcterms:created xsi:type="dcterms:W3CDTF">2018-05-24T20:12:00Z</dcterms:created>
  <dcterms:modified xsi:type="dcterms:W3CDTF">2018-05-24T20:12:00Z</dcterms:modified>
</cp:coreProperties>
</file>