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E6E" w:rsidRDefault="00E12E6E" w:rsidP="00E12E6E">
      <w:pPr>
        <w:widowControl w:val="0"/>
        <w:jc w:val="center"/>
      </w:pPr>
      <w:r w:rsidRPr="00E12E6E">
        <w:rPr>
          <w:b/>
        </w:rPr>
        <w:t>South Carolina General Assembly</w:t>
      </w:r>
    </w:p>
    <w:p w:rsidR="00E12E6E" w:rsidRDefault="00E12E6E" w:rsidP="00E12E6E">
      <w:pPr>
        <w:widowControl w:val="0"/>
        <w:jc w:val="center"/>
      </w:pPr>
      <w:r>
        <w:t>122nd Session, 2017-2018</w:t>
      </w:r>
    </w:p>
    <w:p w:rsidR="00E12E6E" w:rsidRDefault="00E12E6E" w:rsidP="00E12E6E">
      <w:pPr>
        <w:widowControl w:val="0"/>
      </w:pPr>
    </w:p>
    <w:p w:rsidR="00E12E6E" w:rsidRDefault="00E12E6E" w:rsidP="00E12E6E">
      <w:pPr>
        <w:widowControl w:val="0"/>
        <w:rPr>
          <w:b/>
        </w:rPr>
      </w:pPr>
      <w:r w:rsidRPr="00E12E6E">
        <w:rPr>
          <w:b/>
        </w:rPr>
        <w:t>S.</w:t>
      </w:r>
      <w:r>
        <w:rPr>
          <w:b/>
        </w:rPr>
        <w:t xml:space="preserve"> </w:t>
      </w:r>
      <w:r w:rsidRPr="00E12E6E">
        <w:rPr>
          <w:b/>
        </w:rPr>
        <w:t>479</w:t>
      </w:r>
    </w:p>
    <w:p w:rsidR="00E12E6E" w:rsidRDefault="00E12E6E" w:rsidP="00E12E6E">
      <w:pPr>
        <w:widowControl w:val="0"/>
        <w:rPr>
          <w:b/>
        </w:rPr>
      </w:pPr>
    </w:p>
    <w:p w:rsidR="00E12E6E" w:rsidRDefault="00E12E6E" w:rsidP="00E12E6E">
      <w:pPr>
        <w:widowControl w:val="0"/>
      </w:pPr>
      <w:r w:rsidRPr="00E12E6E">
        <w:rPr>
          <w:b/>
        </w:rPr>
        <w:t>STATUS INFORMATION</w:t>
      </w:r>
    </w:p>
    <w:p w:rsidR="00E12E6E" w:rsidRDefault="00E12E6E" w:rsidP="00E12E6E">
      <w:pPr>
        <w:widowControl w:val="0"/>
      </w:pPr>
    </w:p>
    <w:p w:rsidR="00E12E6E" w:rsidRDefault="00E12E6E" w:rsidP="00E12E6E">
      <w:pPr>
        <w:widowControl w:val="0"/>
      </w:pPr>
      <w:r>
        <w:t>General Bill</w:t>
      </w:r>
    </w:p>
    <w:p w:rsidR="00E12E6E" w:rsidRDefault="00E12E6E" w:rsidP="00E12E6E">
      <w:pPr>
        <w:widowControl w:val="0"/>
      </w:pPr>
      <w:r>
        <w:t>Sponsors: Senator Hutto</w:t>
      </w:r>
    </w:p>
    <w:p w:rsidR="00E12E6E" w:rsidRDefault="00E12E6E" w:rsidP="00E12E6E">
      <w:pPr>
        <w:widowControl w:val="0"/>
      </w:pPr>
      <w:r>
        <w:t>Document Path: l:\s-res\cbh\005comm.dmr.cbh.docx</w:t>
      </w:r>
    </w:p>
    <w:p w:rsidR="00E12E6E" w:rsidRDefault="00E12E6E" w:rsidP="00E12E6E">
      <w:pPr>
        <w:widowControl w:val="0"/>
      </w:pPr>
    </w:p>
    <w:p w:rsidR="00EE22D4" w:rsidRDefault="00EE22D4" w:rsidP="00E12E6E">
      <w:pPr>
        <w:widowControl w:val="0"/>
      </w:pPr>
      <w:r>
        <w:t>Introduced in the Senate on February 28, 2017</w:t>
      </w:r>
    </w:p>
    <w:p w:rsidR="00EE22D4" w:rsidRDefault="00EE22D4" w:rsidP="00E12E6E">
      <w:pPr>
        <w:widowControl w:val="0"/>
      </w:pPr>
      <w:r>
        <w:t>Introduced in the House on April 18, 2017</w:t>
      </w:r>
    </w:p>
    <w:p w:rsidR="00EE22D4" w:rsidRPr="00EE22D4" w:rsidRDefault="00EE22D4" w:rsidP="00E12E6E">
      <w:pPr>
        <w:widowControl w:val="0"/>
      </w:pPr>
      <w:r>
        <w:t xml:space="preserve">Currently residing in the House Committee on </w:t>
      </w:r>
      <w:r w:rsidRPr="00EE22D4">
        <w:rPr>
          <w:b/>
        </w:rPr>
        <w:t>Education and Public Works</w:t>
      </w:r>
    </w:p>
    <w:p w:rsidR="00EE22D4" w:rsidRDefault="00EE22D4" w:rsidP="00E12E6E">
      <w:pPr>
        <w:widowControl w:val="0"/>
      </w:pPr>
    </w:p>
    <w:p w:rsidR="00E12E6E" w:rsidRDefault="00E12E6E" w:rsidP="00E12E6E">
      <w:pPr>
        <w:widowControl w:val="0"/>
      </w:pPr>
      <w:r>
        <w:t xml:space="preserve">Summary: </w:t>
      </w:r>
      <w:r w:rsidR="00F363C5">
        <w:t>Commercial driver's license qualifications</w:t>
      </w:r>
    </w:p>
    <w:p w:rsidR="00E12E6E" w:rsidRDefault="00E12E6E" w:rsidP="00E12E6E">
      <w:pPr>
        <w:widowControl w:val="0"/>
      </w:pPr>
    </w:p>
    <w:p w:rsidR="00E12E6E" w:rsidRDefault="00E12E6E" w:rsidP="00E12E6E">
      <w:pPr>
        <w:widowControl w:val="0"/>
      </w:pPr>
    </w:p>
    <w:p w:rsidR="00E12E6E" w:rsidRDefault="00E12E6E" w:rsidP="00E12E6E">
      <w:pPr>
        <w:widowControl w:val="0"/>
        <w:tabs>
          <w:tab w:val="center" w:pos="590"/>
          <w:tab w:val="center" w:pos="1440"/>
          <w:tab w:val="left" w:pos="1872"/>
          <w:tab w:val="left" w:pos="9187"/>
        </w:tabs>
      </w:pPr>
      <w:r w:rsidRPr="00E12E6E">
        <w:rPr>
          <w:b/>
        </w:rPr>
        <w:t>HISTORY OF LEGISLATIVE ACTIONS</w:t>
      </w:r>
    </w:p>
    <w:p w:rsidR="00E12E6E" w:rsidRDefault="00E12E6E" w:rsidP="00E12E6E">
      <w:pPr>
        <w:widowControl w:val="0"/>
        <w:tabs>
          <w:tab w:val="center" w:pos="590"/>
          <w:tab w:val="center" w:pos="1440"/>
          <w:tab w:val="left" w:pos="1872"/>
          <w:tab w:val="left" w:pos="9187"/>
        </w:tabs>
      </w:pPr>
    </w:p>
    <w:p w:rsidR="00E12E6E" w:rsidRPr="00E12E6E" w:rsidRDefault="00E12E6E" w:rsidP="00E12E6E">
      <w:pPr>
        <w:widowControl w:val="0"/>
        <w:tabs>
          <w:tab w:val="center" w:pos="590"/>
          <w:tab w:val="center" w:pos="1440"/>
          <w:tab w:val="left" w:pos="1872"/>
          <w:tab w:val="left" w:pos="9187"/>
        </w:tabs>
      </w:pPr>
      <w:r w:rsidRPr="00E12E6E">
        <w:rPr>
          <w:u w:val="single"/>
        </w:rPr>
        <w:tab/>
        <w:t>Date</w:t>
      </w:r>
      <w:r w:rsidRPr="00E12E6E">
        <w:rPr>
          <w:u w:val="single"/>
        </w:rPr>
        <w:tab/>
        <w:t>Body</w:t>
      </w:r>
      <w:r w:rsidRPr="00E12E6E">
        <w:rPr>
          <w:u w:val="single"/>
        </w:rPr>
        <w:tab/>
        <w:t>Action Description with journal page number</w:t>
      </w:r>
      <w:r w:rsidRPr="00E12E6E">
        <w:rPr>
          <w:u w:val="single"/>
        </w:rPr>
        <w:tab/>
      </w:r>
    </w:p>
    <w:p w:rsidR="0068785E" w:rsidRDefault="0068785E" w:rsidP="0068785E">
      <w:pPr>
        <w:widowControl w:val="0"/>
        <w:tabs>
          <w:tab w:val="right" w:pos="1008"/>
          <w:tab w:val="left" w:pos="1152"/>
          <w:tab w:val="left" w:pos="1872"/>
          <w:tab w:val="left" w:pos="9187"/>
        </w:tabs>
        <w:ind w:left="2088" w:hanging="2088"/>
      </w:pPr>
      <w:r>
        <w:tab/>
        <w:t>2/28/2017</w:t>
      </w:r>
      <w:r>
        <w:tab/>
        <w:t>Senate</w:t>
      </w:r>
      <w:r>
        <w:tab/>
      </w:r>
      <w:r w:rsidRPr="00E7021D">
        <w:t>Introduced and read first time (</w:t>
      </w:r>
      <w:hyperlink r:id="rId6" w:history="1">
        <w:r w:rsidRPr="00E7021D">
          <w:rPr>
            <w:rStyle w:val="Hyperlink"/>
          </w:rPr>
          <w:t>Senate Journal</w:t>
        </w:r>
        <w:r w:rsidRPr="00E7021D">
          <w:rPr>
            <w:rStyle w:val="Hyperlink"/>
          </w:rPr>
          <w:noBreakHyphen/>
          <w:t>page 12</w:t>
        </w:r>
      </w:hyperlink>
      <w:r w:rsidRPr="00E7021D">
        <w:t>)</w:t>
      </w:r>
    </w:p>
    <w:p w:rsidR="0068785E" w:rsidRDefault="0068785E" w:rsidP="0068785E">
      <w:pPr>
        <w:widowControl w:val="0"/>
        <w:tabs>
          <w:tab w:val="right" w:pos="1008"/>
          <w:tab w:val="left" w:pos="1152"/>
          <w:tab w:val="left" w:pos="1872"/>
          <w:tab w:val="left" w:pos="9187"/>
        </w:tabs>
        <w:ind w:left="2088" w:hanging="2088"/>
      </w:pPr>
      <w:r>
        <w:tab/>
        <w:t>2/28/2017</w:t>
      </w:r>
      <w:r>
        <w:tab/>
        <w:t>Senate</w:t>
      </w:r>
      <w:r>
        <w:tab/>
      </w:r>
      <w:r w:rsidRPr="00E7021D">
        <w:t>Referred</w:t>
      </w:r>
      <w:r>
        <w:t xml:space="preserve"> to Committee on </w:t>
      </w:r>
      <w:r w:rsidRPr="00E7021D">
        <w:rPr>
          <w:b/>
        </w:rPr>
        <w:t>Transportation</w:t>
      </w:r>
      <w:r>
        <w:t xml:space="preserve"> </w:t>
      </w:r>
      <w:r w:rsidRPr="00E7021D">
        <w:t>(</w:t>
      </w:r>
      <w:hyperlink r:id="rId7" w:history="1">
        <w:r w:rsidRPr="00E7021D">
          <w:rPr>
            <w:rStyle w:val="Hyperlink"/>
          </w:rPr>
          <w:t>Senate Journal</w:t>
        </w:r>
        <w:r w:rsidRPr="00E7021D">
          <w:rPr>
            <w:rStyle w:val="Hyperlink"/>
          </w:rPr>
          <w:noBreakHyphen/>
          <w:t>page 12</w:t>
        </w:r>
      </w:hyperlink>
      <w:r w:rsidRPr="00E7021D">
        <w:t>)</w:t>
      </w:r>
    </w:p>
    <w:p w:rsidR="0068785E" w:rsidRDefault="0068785E" w:rsidP="0068785E">
      <w:pPr>
        <w:widowControl w:val="0"/>
        <w:tabs>
          <w:tab w:val="right" w:pos="1008"/>
          <w:tab w:val="left" w:pos="1152"/>
          <w:tab w:val="left" w:pos="1872"/>
          <w:tab w:val="left" w:pos="9187"/>
        </w:tabs>
        <w:ind w:left="2088" w:hanging="2088"/>
      </w:pPr>
      <w:r>
        <w:tab/>
        <w:t>4/5/2017</w:t>
      </w:r>
      <w:r>
        <w:tab/>
        <w:t>Senate</w:t>
      </w:r>
      <w:r>
        <w:tab/>
      </w:r>
      <w:r w:rsidRPr="00E7021D">
        <w:t xml:space="preserve">Polled </w:t>
      </w:r>
      <w:r>
        <w:t xml:space="preserve">out of committee </w:t>
      </w:r>
      <w:r w:rsidRPr="00E7021D">
        <w:rPr>
          <w:b/>
        </w:rPr>
        <w:t>Transportation</w:t>
      </w:r>
      <w:r>
        <w:t xml:space="preserve"> </w:t>
      </w:r>
      <w:r w:rsidRPr="00E7021D">
        <w:t>(</w:t>
      </w:r>
      <w:hyperlink r:id="rId8" w:history="1">
        <w:r w:rsidRPr="00E7021D">
          <w:rPr>
            <w:rStyle w:val="Hyperlink"/>
          </w:rPr>
          <w:t>Senate Journal</w:t>
        </w:r>
        <w:r w:rsidRPr="00E7021D">
          <w:rPr>
            <w:rStyle w:val="Hyperlink"/>
          </w:rPr>
          <w:noBreakHyphen/>
          <w:t>page 20</w:t>
        </w:r>
      </w:hyperlink>
      <w:r w:rsidRPr="00E7021D">
        <w:t>)</w:t>
      </w:r>
    </w:p>
    <w:p w:rsidR="0068785E" w:rsidRDefault="0068785E" w:rsidP="0068785E">
      <w:pPr>
        <w:widowControl w:val="0"/>
        <w:tabs>
          <w:tab w:val="right" w:pos="1008"/>
          <w:tab w:val="left" w:pos="1152"/>
          <w:tab w:val="left" w:pos="1872"/>
          <w:tab w:val="left" w:pos="9187"/>
        </w:tabs>
        <w:ind w:left="2088" w:hanging="2088"/>
      </w:pPr>
      <w:r>
        <w:tab/>
        <w:t>4/5/2017</w:t>
      </w:r>
      <w:r>
        <w:tab/>
        <w:t>Senate</w:t>
      </w:r>
      <w:r>
        <w:tab/>
      </w:r>
      <w:r w:rsidRPr="00E7021D">
        <w:t>Committee r</w:t>
      </w:r>
      <w:r>
        <w:t xml:space="preserve">eport: Favorable </w:t>
      </w:r>
      <w:r w:rsidRPr="00E7021D">
        <w:rPr>
          <w:b/>
        </w:rPr>
        <w:t>Transportation</w:t>
      </w:r>
      <w:r>
        <w:t xml:space="preserve"> </w:t>
      </w:r>
      <w:r w:rsidRPr="00E7021D">
        <w:t>(</w:t>
      </w:r>
      <w:hyperlink r:id="rId9" w:history="1">
        <w:r w:rsidRPr="00E7021D">
          <w:rPr>
            <w:rStyle w:val="Hyperlink"/>
          </w:rPr>
          <w:t>Senate Journal</w:t>
        </w:r>
        <w:r w:rsidRPr="00E7021D">
          <w:rPr>
            <w:rStyle w:val="Hyperlink"/>
          </w:rPr>
          <w:noBreakHyphen/>
          <w:t>page 20</w:t>
        </w:r>
      </w:hyperlink>
      <w:r w:rsidRPr="00E7021D">
        <w:t>)</w:t>
      </w:r>
    </w:p>
    <w:p w:rsidR="0068785E" w:rsidRDefault="0068785E" w:rsidP="0068785E">
      <w:pPr>
        <w:widowControl w:val="0"/>
        <w:tabs>
          <w:tab w:val="right" w:pos="1008"/>
          <w:tab w:val="left" w:pos="1152"/>
          <w:tab w:val="left" w:pos="1872"/>
          <w:tab w:val="left" w:pos="9187"/>
        </w:tabs>
        <w:ind w:left="2088" w:hanging="2088"/>
      </w:pPr>
      <w:r>
        <w:tab/>
        <w:t>4/6/2017</w:t>
      </w:r>
      <w:r>
        <w:tab/>
        <w:t>Senate</w:t>
      </w:r>
      <w:r>
        <w:tab/>
      </w:r>
      <w:r w:rsidRPr="00E7021D">
        <w:t>Read second time (</w:t>
      </w:r>
      <w:hyperlink r:id="rId10" w:history="1">
        <w:r w:rsidRPr="00E7021D">
          <w:rPr>
            <w:rStyle w:val="Hyperlink"/>
          </w:rPr>
          <w:t>Senate Journal</w:t>
        </w:r>
        <w:r w:rsidRPr="00E7021D">
          <w:rPr>
            <w:rStyle w:val="Hyperlink"/>
          </w:rPr>
          <w:noBreakHyphen/>
          <w:t>page 120</w:t>
        </w:r>
      </w:hyperlink>
      <w:r w:rsidRPr="00E7021D">
        <w:t>)</w:t>
      </w:r>
    </w:p>
    <w:p w:rsidR="0068785E" w:rsidRDefault="0068785E" w:rsidP="0068785E">
      <w:pPr>
        <w:widowControl w:val="0"/>
        <w:tabs>
          <w:tab w:val="right" w:pos="1008"/>
          <w:tab w:val="left" w:pos="1152"/>
          <w:tab w:val="left" w:pos="1872"/>
          <w:tab w:val="left" w:pos="9187"/>
        </w:tabs>
        <w:ind w:left="2088" w:hanging="2088"/>
      </w:pPr>
      <w:r>
        <w:tab/>
        <w:t>4/6/2017</w:t>
      </w:r>
      <w:r>
        <w:tab/>
        <w:t>Senate</w:t>
      </w:r>
      <w:r>
        <w:tab/>
      </w:r>
      <w:r w:rsidRPr="00E7021D">
        <w:t>Roll call Ayes</w:t>
      </w:r>
      <w:r>
        <w:noBreakHyphen/>
      </w:r>
      <w:r w:rsidRPr="00E7021D">
        <w:t>40  Nays</w:t>
      </w:r>
      <w:r>
        <w:noBreakHyphen/>
      </w:r>
      <w:r w:rsidRPr="00E7021D">
        <w:t>3 (</w:t>
      </w:r>
      <w:hyperlink r:id="rId11" w:history="1">
        <w:r w:rsidRPr="00E7021D">
          <w:rPr>
            <w:rStyle w:val="Hyperlink"/>
          </w:rPr>
          <w:t>Senate Journal</w:t>
        </w:r>
        <w:r w:rsidRPr="00E7021D">
          <w:rPr>
            <w:rStyle w:val="Hyperlink"/>
          </w:rPr>
          <w:noBreakHyphen/>
          <w:t>page 120</w:t>
        </w:r>
      </w:hyperlink>
      <w:r w:rsidRPr="00E7021D">
        <w:t>)</w:t>
      </w:r>
    </w:p>
    <w:p w:rsidR="0068785E" w:rsidRDefault="0068785E" w:rsidP="0068785E">
      <w:pPr>
        <w:widowControl w:val="0"/>
        <w:tabs>
          <w:tab w:val="right" w:pos="1008"/>
          <w:tab w:val="left" w:pos="1152"/>
          <w:tab w:val="left" w:pos="1872"/>
          <w:tab w:val="left" w:pos="9187"/>
        </w:tabs>
        <w:ind w:left="2088" w:hanging="2088"/>
      </w:pPr>
      <w:r>
        <w:tab/>
        <w:t>4/6/2017</w:t>
      </w:r>
      <w:r>
        <w:tab/>
        <w:t>Senate</w:t>
      </w:r>
      <w:r>
        <w:tab/>
      </w:r>
      <w:r w:rsidRPr="00E7021D">
        <w:t>Unanimous co</w:t>
      </w:r>
      <w:r>
        <w:t xml:space="preserve">nsent for third reading on next </w:t>
      </w:r>
      <w:r w:rsidRPr="00E7021D">
        <w:t>legislative day (</w:t>
      </w:r>
      <w:hyperlink r:id="rId12" w:history="1">
        <w:r w:rsidRPr="00E7021D">
          <w:rPr>
            <w:rStyle w:val="Hyperlink"/>
          </w:rPr>
          <w:t>Senate Journal</w:t>
        </w:r>
        <w:r w:rsidRPr="00E7021D">
          <w:rPr>
            <w:rStyle w:val="Hyperlink"/>
          </w:rPr>
          <w:noBreakHyphen/>
          <w:t>page 120</w:t>
        </w:r>
      </w:hyperlink>
      <w:r w:rsidRPr="00E7021D">
        <w:t>)</w:t>
      </w:r>
    </w:p>
    <w:p w:rsidR="0068785E" w:rsidRDefault="0068785E" w:rsidP="0068785E">
      <w:pPr>
        <w:widowControl w:val="0"/>
        <w:tabs>
          <w:tab w:val="right" w:pos="1008"/>
          <w:tab w:val="left" w:pos="1152"/>
          <w:tab w:val="left" w:pos="1872"/>
          <w:tab w:val="left" w:pos="9187"/>
        </w:tabs>
        <w:ind w:left="2088" w:hanging="2088"/>
      </w:pPr>
      <w:r>
        <w:tab/>
        <w:t>4/7/2017</w:t>
      </w:r>
      <w:r>
        <w:tab/>
        <w:t>Senate</w:t>
      </w:r>
      <w:r>
        <w:tab/>
      </w:r>
      <w:r w:rsidRPr="00E7021D">
        <w:t>Re</w:t>
      </w:r>
      <w:r>
        <w:t xml:space="preserve">ad third time and sent to House </w:t>
      </w:r>
      <w:r w:rsidRPr="00E7021D">
        <w:t>(</w:t>
      </w:r>
      <w:hyperlink r:id="rId13" w:history="1">
        <w:r w:rsidRPr="00E7021D">
          <w:rPr>
            <w:rStyle w:val="Hyperlink"/>
          </w:rPr>
          <w:t>Senate Journal</w:t>
        </w:r>
        <w:r w:rsidRPr="00E7021D">
          <w:rPr>
            <w:rStyle w:val="Hyperlink"/>
          </w:rPr>
          <w:noBreakHyphen/>
          <w:t>page 2</w:t>
        </w:r>
      </w:hyperlink>
      <w:r w:rsidRPr="00E7021D">
        <w:t>)</w:t>
      </w:r>
    </w:p>
    <w:p w:rsidR="0068785E" w:rsidRDefault="0068785E" w:rsidP="0068785E">
      <w:pPr>
        <w:widowControl w:val="0"/>
        <w:tabs>
          <w:tab w:val="right" w:pos="1008"/>
          <w:tab w:val="left" w:pos="1152"/>
          <w:tab w:val="left" w:pos="1872"/>
          <w:tab w:val="left" w:pos="9187"/>
        </w:tabs>
        <w:ind w:left="2088" w:hanging="2088"/>
      </w:pPr>
      <w:r>
        <w:tab/>
        <w:t>4/18/2017</w:t>
      </w:r>
      <w:r>
        <w:tab/>
        <w:t>House</w:t>
      </w:r>
      <w:r>
        <w:tab/>
      </w:r>
      <w:r w:rsidRPr="00E7021D">
        <w:t>Introduced and read first time (</w:t>
      </w:r>
      <w:hyperlink r:id="rId14" w:history="1">
        <w:r w:rsidRPr="00E7021D">
          <w:rPr>
            <w:rStyle w:val="Hyperlink"/>
          </w:rPr>
          <w:t>House Journal</w:t>
        </w:r>
        <w:r w:rsidRPr="00E7021D">
          <w:rPr>
            <w:rStyle w:val="Hyperlink"/>
          </w:rPr>
          <w:noBreakHyphen/>
          <w:t>page 9</w:t>
        </w:r>
      </w:hyperlink>
      <w:r w:rsidRPr="00E7021D">
        <w:t>)</w:t>
      </w:r>
    </w:p>
    <w:p w:rsidR="0068785E" w:rsidRDefault="0068785E" w:rsidP="0068785E">
      <w:pPr>
        <w:widowControl w:val="0"/>
        <w:tabs>
          <w:tab w:val="right" w:pos="1008"/>
          <w:tab w:val="left" w:pos="1152"/>
          <w:tab w:val="left" w:pos="1872"/>
          <w:tab w:val="left" w:pos="9187"/>
        </w:tabs>
        <w:ind w:left="2088" w:hanging="2088"/>
      </w:pPr>
      <w:r>
        <w:tab/>
        <w:t>4/18/2017</w:t>
      </w:r>
      <w:r>
        <w:tab/>
        <w:t>House</w:t>
      </w:r>
      <w:r>
        <w:tab/>
      </w:r>
      <w:r w:rsidRPr="00E7021D">
        <w:t>Referred to Co</w:t>
      </w:r>
      <w:r>
        <w:t xml:space="preserve">mmittee on </w:t>
      </w:r>
      <w:r w:rsidRPr="00E7021D">
        <w:rPr>
          <w:b/>
        </w:rPr>
        <w:t>Education and Public Works</w:t>
      </w:r>
      <w:r w:rsidRPr="00E7021D">
        <w:t xml:space="preserve"> (</w:t>
      </w:r>
      <w:hyperlink r:id="rId15" w:history="1">
        <w:r w:rsidRPr="00E7021D">
          <w:rPr>
            <w:rStyle w:val="Hyperlink"/>
          </w:rPr>
          <w:t>House Journal</w:t>
        </w:r>
        <w:r w:rsidRPr="00E7021D">
          <w:rPr>
            <w:rStyle w:val="Hyperlink"/>
          </w:rPr>
          <w:noBreakHyphen/>
          <w:t>page 9</w:t>
        </w:r>
      </w:hyperlink>
      <w:r w:rsidRPr="00E7021D">
        <w:t>)</w:t>
      </w:r>
    </w:p>
    <w:p w:rsidR="0068785E" w:rsidRDefault="0068785E" w:rsidP="0068785E">
      <w:pPr>
        <w:widowControl w:val="0"/>
        <w:tabs>
          <w:tab w:val="right" w:pos="1008"/>
          <w:tab w:val="left" w:pos="1152"/>
          <w:tab w:val="left" w:pos="1872"/>
          <w:tab w:val="left" w:pos="9187"/>
        </w:tabs>
        <w:ind w:left="2088" w:hanging="2088"/>
      </w:pPr>
    </w:p>
    <w:p w:rsidR="00E12E6E" w:rsidRDefault="00E12E6E" w:rsidP="00E12E6E">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E12E6E">
          <w:rPr>
            <w:rStyle w:val="Hyperlink"/>
          </w:rPr>
          <w:t>legislative information</w:t>
        </w:r>
      </w:hyperlink>
      <w:r>
        <w:t xml:space="preserve"> at the website</w:t>
      </w:r>
    </w:p>
    <w:p w:rsidR="00E12E6E" w:rsidRDefault="00E12E6E" w:rsidP="00E12E6E">
      <w:pPr>
        <w:widowControl w:val="0"/>
        <w:tabs>
          <w:tab w:val="right" w:pos="1008"/>
          <w:tab w:val="left" w:pos="1152"/>
          <w:tab w:val="left" w:pos="1872"/>
          <w:tab w:val="left" w:pos="9187"/>
        </w:tabs>
        <w:ind w:left="2088" w:hanging="2088"/>
      </w:pPr>
    </w:p>
    <w:p w:rsidR="00E12E6E" w:rsidRPr="00E12E6E" w:rsidRDefault="00E12E6E" w:rsidP="00E12E6E">
      <w:pPr>
        <w:widowControl w:val="0"/>
        <w:tabs>
          <w:tab w:val="right" w:pos="1008"/>
          <w:tab w:val="left" w:pos="1152"/>
          <w:tab w:val="left" w:pos="1872"/>
          <w:tab w:val="left" w:pos="9187"/>
        </w:tabs>
        <w:ind w:left="2088" w:hanging="2088"/>
      </w:pPr>
    </w:p>
    <w:p w:rsidR="00E12E6E" w:rsidRDefault="00E12E6E" w:rsidP="00E12E6E">
      <w:pPr>
        <w:widowControl w:val="0"/>
      </w:pPr>
      <w:r w:rsidRPr="00E12E6E">
        <w:rPr>
          <w:b/>
        </w:rPr>
        <w:t>VERSIONS OF THIS BILL</w:t>
      </w:r>
    </w:p>
    <w:p w:rsidR="00E12E6E" w:rsidRDefault="00E12E6E" w:rsidP="00E12E6E">
      <w:pPr>
        <w:widowControl w:val="0"/>
      </w:pPr>
    </w:p>
    <w:p w:rsidR="00E12E6E" w:rsidRDefault="00B2774D" w:rsidP="00E12E6E">
      <w:pPr>
        <w:widowControl w:val="0"/>
      </w:pPr>
      <w:hyperlink r:id="rId17" w:history="1">
        <w:r w:rsidR="00E12E6E">
          <w:rPr>
            <w:rStyle w:val="Hyperlink"/>
          </w:rPr>
          <w:t>2/28/2017</w:t>
        </w:r>
      </w:hyperlink>
    </w:p>
    <w:p w:rsidR="00E12E6E" w:rsidRDefault="00B2774D" w:rsidP="00E12E6E">
      <w:hyperlink r:id="rId18" w:history="1">
        <w:r w:rsidR="00712482" w:rsidRPr="00712482">
          <w:rPr>
            <w:rStyle w:val="Hyperlink"/>
          </w:rPr>
          <w:t>4/5/2017</w:t>
        </w:r>
      </w:hyperlink>
    </w:p>
    <w:p w:rsidR="00712482" w:rsidRDefault="00712482" w:rsidP="00E12E6E"/>
    <w:p w:rsidR="00E12E6E" w:rsidRDefault="00E12E6E" w:rsidP="00E12E6E">
      <w:pPr>
        <w:sectPr w:rsidR="00E12E6E" w:rsidSect="00E12E6E">
          <w:pgSz w:w="12240" w:h="15840" w:code="1"/>
          <w:pgMar w:top="1080" w:right="1440" w:bottom="1080" w:left="1440" w:header="720" w:footer="720" w:gutter="0"/>
          <w:cols w:space="720"/>
          <w:noEndnote/>
          <w:docGrid w:linePitch="360"/>
        </w:sectPr>
      </w:pP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 2017</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C96A96" w:rsidRDefault="00712482" w:rsidP="00C96A96">
      <w:pPr>
        <w:tabs>
          <w:tab w:val="right" w:pos="5933"/>
        </w:tabs>
        <w:suppressAutoHyphens/>
        <w:jc w:val="both"/>
        <w:rPr>
          <w:rFonts w:eastAsia="Times New Roman"/>
        </w:rPr>
      </w:pPr>
      <w:r>
        <w:rPr>
          <w:rFonts w:eastAsia="Times New Roman"/>
        </w:rPr>
        <w:tab/>
      </w:r>
      <w:r>
        <w:rPr>
          <w:rFonts w:eastAsia="Times New Roman"/>
          <w:b/>
          <w:sz w:val="36"/>
        </w:rPr>
        <w:t>S. 479</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Default="00712482" w:rsidP="00C9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01E4D">
        <w:t>Senator Hutto</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4/5/17--S.</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712482" w:rsidRPr="00C96A96" w:rsidRDefault="00712482" w:rsidP="00C9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C96A96" w:rsidRDefault="00712482" w:rsidP="00C9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479) to amend Section 56</w:t>
      </w:r>
      <w:r>
        <w:rPr>
          <w:rFonts w:eastAsia="Times New Roman"/>
        </w:rPr>
        <w:noBreakHyphen/>
        <w:t>1</w:t>
      </w:r>
      <w:r>
        <w:rPr>
          <w:rFonts w:eastAsia="Times New Roman"/>
        </w:rPr>
        <w:noBreakHyphen/>
        <w:t>2080 of the 1976 Code, relating to qualifications for a commercial driver’s license, to establish the Intrastate Vision Waiver Program, to provide that, etc., respectfully</w:t>
      </w:r>
    </w:p>
    <w:p w:rsidR="00712482" w:rsidRPr="00C96A96" w:rsidRDefault="00712482" w:rsidP="00C9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2482" w:rsidSect="00C96A9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8F023B" w:rsidRDefault="00712482" w:rsidP="00C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Pr>
          <w:rFonts w:eastAsia="Times New Roman"/>
        </w:rPr>
        <w:noBreakHyphen/>
        <w:t>1</w:t>
      </w:r>
      <w:r>
        <w:rPr>
          <w:rFonts w:eastAsia="Times New Roman"/>
        </w:rPr>
        <w:noBreakHyphen/>
        <w:t>2080 OF THE 1976 CODE, RELATING TO QUALIFICATIONS FOR A COMMERCIAL DRIVER</w:t>
      </w:r>
      <w:r w:rsidRPr="0020733A">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Pr="0020733A">
        <w:rPr>
          <w:rFonts w:eastAsia="Times New Roman"/>
        </w:rPr>
        <w:t>’</w:t>
      </w:r>
      <w:r>
        <w:rPr>
          <w:rFonts w:eastAsia="Times New Roman"/>
        </w:rPr>
        <w:t>S LICENSE, AND TO PROVIDE FOR THE ELIGIBILITY REQUIREMENTS FOR THE WAIVER, THE CIRCUMSTANCES UNDER WHICH A WAIVER MAY BE GRANTED, AND THE PROCEDURES FOR OBTAINING A WAIVER.</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2482"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614320"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614320">
        <w:rPr>
          <w:rFonts w:eastAsia="Times New Roman"/>
          <w:color w:val="000000" w:themeColor="text1"/>
          <w:u w:color="000000" w:themeColor="text1"/>
        </w:rPr>
        <w:t>Section 56</w:t>
      </w:r>
      <w:r>
        <w:rPr>
          <w:rFonts w:eastAsia="Times New Roman"/>
          <w:color w:val="000000" w:themeColor="text1"/>
          <w:u w:color="000000" w:themeColor="text1"/>
        </w:rPr>
        <w:noBreakHyphen/>
      </w:r>
      <w:r w:rsidRPr="00614320">
        <w:rPr>
          <w:rFonts w:eastAsia="Times New Roman"/>
          <w:color w:val="000000" w:themeColor="text1"/>
          <w:u w:color="000000" w:themeColor="text1"/>
        </w:rPr>
        <w:t>1</w:t>
      </w:r>
      <w:r>
        <w:rPr>
          <w:rFonts w:eastAsia="Times New Roman"/>
          <w:color w:val="000000" w:themeColor="text1"/>
          <w:u w:color="000000" w:themeColor="text1"/>
        </w:rPr>
        <w:noBreakHyphen/>
      </w:r>
      <w:r w:rsidRPr="00614320">
        <w:rPr>
          <w:rFonts w:eastAsia="Times New Roman"/>
          <w:color w:val="000000" w:themeColor="text1"/>
          <w:u w:color="000000" w:themeColor="text1"/>
        </w:rPr>
        <w:t>2080 of the 1976 Code is amended by adding:</w:t>
      </w:r>
    </w:p>
    <w:p w:rsidR="00712482" w:rsidRPr="00614320"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2482" w:rsidRPr="00614320"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w:t>
      </w:r>
      <w:r w:rsidRPr="0020733A">
        <w:rPr>
          <w:bCs/>
          <w:color w:val="000000" w:themeColor="text1"/>
          <w:szCs w:val="20"/>
          <w:u w:color="000000" w:themeColor="text1"/>
        </w:rPr>
        <w:t>‘</w:t>
      </w:r>
      <w:r w:rsidRPr="00614320">
        <w:rPr>
          <w:bCs/>
          <w:color w:val="000000" w:themeColor="text1"/>
          <w:szCs w:val="20"/>
          <w:u w:color="000000" w:themeColor="text1"/>
        </w:rPr>
        <w:t>intrastate commerce</w:t>
      </w:r>
      <w:r w:rsidRPr="0020733A">
        <w:rPr>
          <w:bCs/>
          <w:color w:val="000000" w:themeColor="text1"/>
          <w:szCs w:val="20"/>
          <w:u w:color="000000" w:themeColor="text1"/>
        </w:rPr>
        <w:t>’</w:t>
      </w:r>
      <w:r w:rsidRPr="00614320">
        <w:rPr>
          <w:bCs/>
          <w:color w:val="000000" w:themeColor="text1"/>
          <w:szCs w:val="20"/>
          <w:u w:color="000000" w:themeColor="text1"/>
        </w:rPr>
        <w:t xml:space="preserve"> is the transportation of persons or property within the State of South Carolina </w:t>
      </w:r>
      <w:r>
        <w:rPr>
          <w:bCs/>
          <w:color w:val="000000" w:themeColor="text1"/>
          <w:szCs w:val="20"/>
          <w:u w:color="000000" w:themeColor="text1"/>
        </w:rPr>
        <w:t>in which</w:t>
      </w:r>
      <w:r w:rsidRPr="00614320">
        <w:rPr>
          <w:bCs/>
          <w:color w:val="000000" w:themeColor="text1"/>
          <w:szCs w:val="20"/>
          <w:u w:color="000000" w:themeColor="text1"/>
        </w:rPr>
        <w:t xml:space="preserve"> both the point of origin and the destination point are within the State and </w:t>
      </w:r>
      <w:r>
        <w:rPr>
          <w:bCs/>
          <w:color w:val="000000" w:themeColor="text1"/>
          <w:szCs w:val="20"/>
          <w:u w:color="000000" w:themeColor="text1"/>
        </w:rPr>
        <w:t>in which</w:t>
      </w:r>
      <w:r w:rsidRPr="00614320">
        <w:rPr>
          <w:bCs/>
          <w:color w:val="000000" w:themeColor="text1"/>
          <w:szCs w:val="20"/>
          <w:u w:color="000000" w:themeColor="text1"/>
        </w:rPr>
        <w:t xml:space="preserve"> no state line is crossed. The bill of lading will be conclusive evidence of </w:t>
      </w:r>
      <w:r>
        <w:rPr>
          <w:bCs/>
          <w:color w:val="000000" w:themeColor="text1"/>
          <w:szCs w:val="20"/>
          <w:u w:color="000000" w:themeColor="text1"/>
        </w:rPr>
        <w:t>if</w:t>
      </w:r>
      <w:r w:rsidRPr="00614320">
        <w:rPr>
          <w:bCs/>
          <w:color w:val="000000" w:themeColor="text1"/>
          <w:szCs w:val="20"/>
          <w:u w:color="000000" w:themeColor="text1"/>
        </w:rPr>
        <w:t xml:space="preserve"> a shipment or comm</w:t>
      </w:r>
      <w:r>
        <w:rPr>
          <w:bCs/>
          <w:color w:val="000000" w:themeColor="text1"/>
          <w:szCs w:val="20"/>
          <w:u w:color="000000" w:themeColor="text1"/>
        </w:rPr>
        <w:t>odity is traveling intrastate.</w:t>
      </w:r>
    </w:p>
    <w:p w:rsidR="00712482" w:rsidRPr="00614320"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w:t>
      </w:r>
      <w:r w:rsidRPr="0020733A">
        <w:rPr>
          <w:bCs/>
          <w:color w:val="000000" w:themeColor="text1"/>
          <w:szCs w:val="20"/>
          <w:u w:color="000000" w:themeColor="text1"/>
        </w:rPr>
        <w:t>’</w:t>
      </w:r>
      <w:r w:rsidRPr="00614320">
        <w:rPr>
          <w:bCs/>
          <w:color w:val="000000" w:themeColor="text1"/>
          <w:szCs w:val="20"/>
          <w:u w:color="000000" w:themeColor="text1"/>
        </w:rPr>
        <w:t>s license contained in 49 CFR, Part 391.41 (b)(10). A waiver may be granted if the applicant is applying for, or has been issued, a commercial driver</w:t>
      </w:r>
      <w:r w:rsidRPr="0020733A">
        <w:rPr>
          <w:bCs/>
          <w:color w:val="000000" w:themeColor="text1"/>
          <w:szCs w:val="20"/>
          <w:u w:color="000000" w:themeColor="text1"/>
        </w:rPr>
        <w:t>’</w:t>
      </w:r>
      <w:r w:rsidRPr="00614320">
        <w:rPr>
          <w:bCs/>
          <w:color w:val="000000" w:themeColor="text1"/>
          <w:szCs w:val="20"/>
          <w:u w:color="000000" w:themeColor="text1"/>
        </w:rPr>
        <w:t xml:space="preserve">s license and will be driving commercially only within the State of South Carolina. The department may only issue a vision waiver if it finds that a waiver would achieve a level of safety that is equivalent to, or greater than, the level that would be achieved if </w:t>
      </w:r>
      <w:r>
        <w:rPr>
          <w:bCs/>
          <w:color w:val="000000" w:themeColor="text1"/>
          <w:szCs w:val="20"/>
          <w:u w:color="000000" w:themeColor="text1"/>
        </w:rPr>
        <w:t>the</w:t>
      </w:r>
      <w:r w:rsidRPr="00614320">
        <w:rPr>
          <w:bCs/>
          <w:color w:val="000000" w:themeColor="text1"/>
          <w:szCs w:val="20"/>
          <w:u w:color="000000" w:themeColor="text1"/>
        </w:rPr>
        <w:t xml:space="preserve"> waiver were not granted. The department must promulgate regulations to implement the conditions, restrictions, issuance processes, and other matters related to the program.</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(3)</w:t>
      </w:r>
      <w:r w:rsidRPr="00173AE3">
        <w:rPr>
          <w:rFonts w:eastAsia="Times New Roman"/>
          <w:snapToGrid w:val="0"/>
          <w:szCs w:val="20"/>
        </w:rPr>
        <w:tab/>
        <w:t>To be eligible to receive a waiver, an applicant, in the two years preceding his application for a commercial driver’s license</w:t>
      </w:r>
      <w:r>
        <w:rPr>
          <w:rFonts w:eastAsia="Times New Roman"/>
          <w:snapToGrid w:val="0"/>
          <w:szCs w:val="20"/>
        </w:rPr>
        <w:t>,</w:t>
      </w:r>
      <w:r w:rsidRPr="00173AE3">
        <w:rPr>
          <w:rFonts w:eastAsia="Times New Roman"/>
          <w:snapToGrid w:val="0"/>
          <w:szCs w:val="20"/>
        </w:rPr>
        <w:t xml:space="preserve"> must:</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not have on his driving record:</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any suspensions, revocations, or cancellations of his driver’s license;</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any involvement in an accident for which he was convicted of a moving violation in any motor vehicle, including a personal vehicle;</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any convictions of a disqualifying offense, as defined in 49 CFR 383.51(b)(2);</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more than one serious traffic violation, as defined by 49 CFR, Part 385.5, while driving a commercial motor vehicle</w:t>
      </w:r>
      <w:r>
        <w:rPr>
          <w:bCs/>
          <w:szCs w:val="20"/>
          <w:u w:color="000000" w:themeColor="text1"/>
        </w:rPr>
        <w:t>,</w:t>
      </w:r>
      <w:r w:rsidRPr="00173AE3">
        <w:rPr>
          <w:bCs/>
          <w:szCs w:val="20"/>
          <w:u w:color="000000" w:themeColor="text1"/>
        </w:rPr>
        <w:t xml:space="preserve"> </w:t>
      </w:r>
      <w:r>
        <w:rPr>
          <w:bCs/>
          <w:szCs w:val="20"/>
          <w:u w:color="000000" w:themeColor="text1"/>
        </w:rPr>
        <w:t>that</w:t>
      </w:r>
      <w:r w:rsidRPr="00173AE3">
        <w:rPr>
          <w:bCs/>
          <w:szCs w:val="20"/>
          <w:u w:color="000000" w:themeColor="text1"/>
        </w:rPr>
        <w:t xml:space="preserve"> disqualifies the applicant in accordance with the driver disqualification provisions of 49 CFR 383.51; and</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(v)</w:t>
      </w:r>
      <w:r w:rsidRPr="00173AE3">
        <w:rPr>
          <w:bCs/>
          <w:szCs w:val="20"/>
          <w:u w:color="000000" w:themeColor="text1"/>
        </w:rPr>
        <w:tab/>
        <w:t>more than two convictions for any moving violations; and</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meet all other physical requirements set forth in 49 CFR, Part 391.41.</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(4)</w:t>
      </w:r>
      <w:r w:rsidRPr="00173AE3">
        <w:rPr>
          <w:bCs/>
          <w:szCs w:val="20"/>
          <w:u w:color="000000" w:themeColor="text1"/>
        </w:rPr>
        <w:tab/>
        <w:t>The department may issue a waiver from the department if:</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the applicant:</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 xml:space="preserve">has 20/40 or better distant visual acuity with corrective lenses in the better eye and </w:t>
      </w:r>
      <w:r w:rsidRPr="00173AE3">
        <w:rPr>
          <w:rFonts w:eastAsia="Times New Roman"/>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Pr>
          <w:rFonts w:eastAsia="Times New Roman"/>
          <w:u w:color="000000" w:themeColor="text1"/>
        </w:rPr>
        <w:noBreakHyphen/>
      </w:r>
      <w:r w:rsidRPr="00173AE3">
        <w:rPr>
          <w:rFonts w:eastAsia="Times New Roman"/>
          <w:u w:color="000000" w:themeColor="text1"/>
        </w:rPr>
        <w:t>five (35) degrees nasally</w:t>
      </w:r>
      <w:r w:rsidRPr="00173AE3">
        <w:rPr>
          <w:bCs/>
          <w:szCs w:val="20"/>
          <w:u w:color="000000" w:themeColor="text1"/>
        </w:rPr>
        <w:t>; or</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has vision that is uncorrectable in one eye</w:t>
      </w:r>
      <w:r>
        <w:rPr>
          <w:bCs/>
          <w:szCs w:val="20"/>
          <w:u w:color="000000" w:themeColor="text1"/>
        </w:rPr>
        <w:t>,</w:t>
      </w:r>
      <w:r w:rsidRPr="00173AE3">
        <w:rPr>
          <w:bCs/>
          <w:szCs w:val="20"/>
          <w:u w:color="000000" w:themeColor="text1"/>
        </w:rPr>
        <w:t xml:space="preserve"> does not wear corrective lenses, </w:t>
      </w:r>
      <w:r>
        <w:rPr>
          <w:bCs/>
          <w:szCs w:val="20"/>
          <w:u w:color="000000" w:themeColor="text1"/>
        </w:rPr>
        <w:t>and has an</w:t>
      </w:r>
      <w:r w:rsidRPr="00173AE3">
        <w:rPr>
          <w:bCs/>
          <w:szCs w:val="20"/>
          <w:u w:color="000000" w:themeColor="text1"/>
        </w:rPr>
        <w:t xml:space="preserve"> uncorrected vision </w:t>
      </w:r>
      <w:r>
        <w:rPr>
          <w:bCs/>
          <w:szCs w:val="20"/>
          <w:u w:color="000000" w:themeColor="text1"/>
        </w:rPr>
        <w:t>of</w:t>
      </w:r>
      <w:r w:rsidRPr="00173AE3">
        <w:rPr>
          <w:bCs/>
          <w:szCs w:val="20"/>
          <w:u w:color="000000" w:themeColor="text1"/>
        </w:rPr>
        <w:t xml:space="preserve"> at least 20/25 in the better eye;</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has the ability to recognize the colors of traffic signals and devices showing standard red, green, and amber; and</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has a medical certificate required under Title 49, Code of Federal Regulations, Part 391.43; and</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(b)</w:t>
      </w:r>
      <w:r w:rsidRPr="00173AE3">
        <w:rPr>
          <w:rFonts w:eastAsia="Times New Roman"/>
          <w:snapToGrid w:val="0"/>
          <w:szCs w:val="20"/>
        </w:rPr>
        <w:tab/>
        <w:t>the applicant meets the same requirements for interstate driving, except that:</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w:t>
      </w:r>
      <w:r>
        <w:rPr>
          <w:rFonts w:eastAsia="Times New Roman"/>
          <w:snapToGrid w:val="0"/>
          <w:szCs w:val="20"/>
        </w:rPr>
        <w:tab/>
      </w:r>
      <w:r w:rsidRPr="00173AE3">
        <w:rPr>
          <w:rFonts w:eastAsia="Times New Roman"/>
          <w:snapToGrid w:val="0"/>
          <w:szCs w:val="20"/>
        </w:rPr>
        <w:tab/>
        <w:t>the applicant must have held a driver’s license for the previous four years; and</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 xml:space="preserve">the applicant must present the form specified by the department, signed by an optometrist or an ophthalmologist licensed in the State of South Carolina each year,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w:t>
      </w:r>
      <w:r>
        <w:rPr>
          <w:rFonts w:eastAsia="Times New Roman"/>
          <w:snapToGrid w:val="0"/>
          <w:szCs w:val="20"/>
        </w:rPr>
        <w:t xml:space="preserve">has </w:t>
      </w:r>
      <w:r w:rsidRPr="00173AE3">
        <w:rPr>
          <w:rFonts w:eastAsia="Times New Roman"/>
          <w:snapToGrid w:val="0"/>
          <w:szCs w:val="20"/>
        </w:rPr>
        <w:t>mark</w:t>
      </w:r>
      <w:r>
        <w:rPr>
          <w:rFonts w:eastAsia="Times New Roman"/>
          <w:snapToGrid w:val="0"/>
          <w:szCs w:val="20"/>
        </w:rPr>
        <w:t>ed</w:t>
      </w:r>
      <w:r w:rsidRPr="00173AE3">
        <w:rPr>
          <w:rFonts w:eastAsia="Times New Roman"/>
          <w:snapToGrid w:val="0"/>
          <w:szCs w:val="20"/>
        </w:rPr>
        <w:t xml:space="preserve"> the medical certificate ‘Qualifies for Vision Waiver’ if the applicant meets the tolerance allowances for a waiver.</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(5)</w:t>
      </w:r>
      <w:r w:rsidRPr="00173AE3">
        <w:rPr>
          <w:bCs/>
          <w:szCs w:val="20"/>
          <w:u w:color="000000" w:themeColor="text1"/>
        </w:rPr>
        <w:tab/>
        <w:t>If the waiver application is denied and the applicant currently holds a commercial driver’s license, the commercial driver’s license will be cancelled</w:t>
      </w:r>
      <w:r>
        <w:rPr>
          <w:bCs/>
          <w:szCs w:val="20"/>
          <w:u w:color="000000" w:themeColor="text1"/>
        </w:rPr>
        <w:t>,</w:t>
      </w:r>
      <w:r w:rsidRPr="00173AE3">
        <w:rPr>
          <w:bCs/>
          <w:szCs w:val="20"/>
          <w:u w:color="000000" w:themeColor="text1"/>
        </w:rPr>
        <w:t xml:space="preserve"> and the commercial driver’s license must be surrendered to the department.</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(6)</w:t>
      </w:r>
      <w:r w:rsidRPr="00173AE3">
        <w:rPr>
          <w:rFonts w:eastAsia="Times New Roman"/>
          <w:snapToGrid w:val="0"/>
          <w:szCs w:val="20"/>
        </w:rPr>
        <w:tab/>
        <w:t>Vision waiver certificates are valid for a period not to exceed one year after the date of the applicant’s medical examiner’s physical examination.</w:t>
      </w:r>
      <w:r w:rsidRPr="00173AE3">
        <w:rPr>
          <w:rFonts w:eastAsia="Times New Roman"/>
          <w:snapToGrid w:val="0"/>
          <w:szCs w:val="20"/>
        </w:rPr>
        <w:tab/>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(7)</w:t>
      </w:r>
      <w:r w:rsidRPr="00173AE3">
        <w:rPr>
          <w:bCs/>
          <w:szCs w:val="20"/>
          <w:u w:color="000000" w:themeColor="text1"/>
        </w:rPr>
        <w:tab/>
        <w:t>Waivers shall not be issued for passenger endorsement vehicles, school bus operation, or vehicles transporting hazardous materials requiring placarding under 49 CFR, Part 172, subpart F.</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(8)</w:t>
      </w:r>
      <w:r w:rsidRPr="00173AE3">
        <w:rPr>
          <w:rFonts w:eastAsia="Times New Roman"/>
          <w:snapToGrid w:val="0"/>
          <w:szCs w:val="20"/>
        </w:rPr>
        <w:tab/>
        <w:t>All rec</w:t>
      </w:r>
      <w:r>
        <w:rPr>
          <w:rFonts w:eastAsia="Times New Roman"/>
          <w:snapToGrid w:val="0"/>
          <w:szCs w:val="20"/>
        </w:rPr>
        <w:t>i</w:t>
      </w:r>
      <w:r w:rsidRPr="00173AE3">
        <w:rPr>
          <w:rFonts w:eastAsia="Times New Roman"/>
          <w:snapToGrid w:val="0"/>
          <w:szCs w:val="20"/>
        </w:rPr>
        <w:t>pients of a vision waiver will be required to have a license with the appropriate ‘CDL’ restriction.</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(9)(a)</w:t>
      </w:r>
      <w:r w:rsidRPr="00173AE3">
        <w:rPr>
          <w:bCs/>
          <w:szCs w:val="20"/>
          <w:u w:color="000000" w:themeColor="text1"/>
        </w:rPr>
        <w:tab/>
        <w:t>Applications for the renewal of the vision waiver endorsement will be granted, provided that:</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the applicant’s driving history continues to meet the requirements contained in this subsection; and</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the applicant continues to meet the vision standards contained in this subsection, requiring a yearly renewal of the DOT physical and all other requirements of Title 49, Code of Federal Regulations, Part 391.41</w:t>
      </w:r>
    </w:p>
    <w:p w:rsidR="00712482" w:rsidRPr="00173AE3"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Pr>
          <w:bCs/>
          <w:szCs w:val="20"/>
          <w:u w:color="000000" w:themeColor="text1"/>
        </w:rPr>
        <w:noBreakHyphen/>
      </w:r>
      <w:r w:rsidRPr="00173AE3">
        <w:rPr>
          <w:bCs/>
          <w:szCs w:val="20"/>
          <w:u w:color="000000" w:themeColor="text1"/>
        </w:rPr>
        <w:t xml:space="preserve">day period will result in the cancellation of </w:t>
      </w:r>
      <w:r>
        <w:rPr>
          <w:bCs/>
          <w:szCs w:val="20"/>
          <w:u w:color="000000" w:themeColor="text1"/>
        </w:rPr>
        <w:t>his</w:t>
      </w:r>
      <w:r w:rsidRPr="00173AE3">
        <w:rPr>
          <w:bCs/>
          <w:szCs w:val="20"/>
          <w:u w:color="000000" w:themeColor="text1"/>
        </w:rPr>
        <w:t xml:space="preserve"> commercial driver’s license</w:t>
      </w:r>
      <w:r>
        <w:rPr>
          <w:bCs/>
          <w:szCs w:val="20"/>
          <w:u w:color="000000" w:themeColor="text1"/>
        </w:rPr>
        <w:t>,</w:t>
      </w:r>
      <w:r w:rsidRPr="00173AE3">
        <w:rPr>
          <w:bCs/>
          <w:szCs w:val="20"/>
          <w:u w:color="000000" w:themeColor="text1"/>
        </w:rPr>
        <w:t xml:space="preserve"> and it must be surrendered to the department.</w:t>
      </w:r>
    </w:p>
    <w:p w:rsidR="00712482" w:rsidRPr="00614320"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173AE3">
        <w:rPr>
          <w:bCs/>
          <w:szCs w:val="20"/>
          <w:u w:color="000000" w:themeColor="text1"/>
        </w:rPr>
        <w:tab/>
      </w:r>
      <w:r w:rsidRPr="00173AE3">
        <w:rPr>
          <w:bCs/>
          <w:szCs w:val="20"/>
          <w:u w:color="000000" w:themeColor="text1"/>
        </w:rPr>
        <w:tab/>
        <w:t>(10)</w:t>
      </w:r>
      <w:r w:rsidRPr="00173AE3">
        <w:rPr>
          <w:bCs/>
          <w:szCs w:val="20"/>
          <w:u w:color="000000" w:themeColor="text1"/>
        </w:rPr>
        <w:tab/>
        <w:t>A person who does not qualify to drive in interstate commerce may still qualify to drive in intrastate commerce. In such cases</w:t>
      </w:r>
      <w:r>
        <w:rPr>
          <w:bCs/>
          <w:szCs w:val="20"/>
          <w:u w:color="000000" w:themeColor="text1"/>
        </w:rPr>
        <w:t>,</w:t>
      </w:r>
      <w:r w:rsidRPr="00173AE3">
        <w:rPr>
          <w:bCs/>
          <w:szCs w:val="20"/>
          <w:u w:color="000000" w:themeColor="text1"/>
        </w:rPr>
        <w:t xml:space="preserve"> the driver’s commercial driver’s license will contain a </w:t>
      </w:r>
      <w:r w:rsidRPr="00614320">
        <w:rPr>
          <w:bCs/>
          <w:color w:val="000000" w:themeColor="text1"/>
          <w:szCs w:val="20"/>
          <w:u w:color="000000" w:themeColor="text1"/>
        </w:rPr>
        <w:t>restriction that indicate</w:t>
      </w:r>
      <w:r>
        <w:rPr>
          <w:bCs/>
          <w:color w:val="000000" w:themeColor="text1"/>
          <w:szCs w:val="20"/>
          <w:u w:color="000000" w:themeColor="text1"/>
        </w:rPr>
        <w:t>s</w:t>
      </w:r>
      <w:r w:rsidRPr="00614320">
        <w:rPr>
          <w:bCs/>
          <w:color w:val="000000" w:themeColor="text1"/>
          <w:szCs w:val="20"/>
          <w:u w:color="000000" w:themeColor="text1"/>
        </w:rPr>
        <w:t xml:space="preserve"> that the holder of the license is restricted to travel in intrastate commerce only.</w:t>
      </w:r>
    </w:p>
    <w:p w:rsidR="00712482"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712482" w:rsidRDefault="00712482"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482" w:rsidRPr="00522CE0" w:rsidRDefault="0071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12482" w:rsidRDefault="007124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2E6E" w:rsidRDefault="00E12E6E" w:rsidP="0071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12E6E" w:rsidSect="00C96A9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D9B" w:rsidRDefault="00301D9B" w:rsidP="00522CE0">
      <w:r>
        <w:separator/>
      </w:r>
    </w:p>
  </w:endnote>
  <w:endnote w:type="continuationSeparator" w:id="0">
    <w:p w:rsidR="00301D9B" w:rsidRDefault="00301D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8D1066-B657-4792-8D6E-A1C422244BF5}"/>
    <w:embedBold r:id="rId2" w:fontKey="{D9514FA4-EB76-4CF8-9574-1309FEC8B8A9}"/>
  </w:font>
  <w:font w:name="Calibri">
    <w:panose1 w:val="020F0502020204030204"/>
    <w:charset w:val="00"/>
    <w:family w:val="swiss"/>
    <w:pitch w:val="variable"/>
    <w:sig w:usb0="E00002FF" w:usb1="4000ACFF" w:usb2="00000001" w:usb3="00000000" w:csb0="0000019F" w:csb1="00000000"/>
    <w:embedRegular r:id="rId3" w:fontKey="{89267CAC-8E61-4499-A429-E7A77267B1D5}"/>
    <w:embedBold r:id="rId4" w:fontKey="{9217877B-6FA2-4C68-81D0-6202C25DD2B7}"/>
  </w:font>
  <w:font w:name="Cambria">
    <w:panose1 w:val="02040503050406030204"/>
    <w:charset w:val="00"/>
    <w:family w:val="roman"/>
    <w:pitch w:val="variable"/>
    <w:sig w:usb0="E00002FF" w:usb1="400004FF" w:usb2="00000000" w:usb3="00000000" w:csb0="0000019F" w:csb1="00000000"/>
    <w:embedRegular r:id="rId5" w:fontKey="{78758357-4B8D-422B-BE4E-9A37771B8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482" w:rsidRPr="00C66547" w:rsidRDefault="00712482" w:rsidP="00C66547">
    <w:pPr>
      <w:pStyle w:val="Footer"/>
      <w:tabs>
        <w:tab w:val="clear" w:pos="4680"/>
        <w:tab w:val="clear" w:pos="9360"/>
        <w:tab w:val="center" w:pos="2995"/>
      </w:tabs>
      <w:spacing w:before="120"/>
    </w:pPr>
    <w:r>
      <w:t>[479-</w:t>
    </w:r>
    <w:r>
      <w:fldChar w:fldCharType="begin"/>
    </w:r>
    <w:r>
      <w:instrText xml:space="preserve"> PAGE  \* MERGEFORMAT </w:instrText>
    </w:r>
    <w:r>
      <w:fldChar w:fldCharType="separate"/>
    </w:r>
    <w:r w:rsidR="0068785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96" w:rsidRPr="00C66547" w:rsidRDefault="00712482" w:rsidP="00C66547">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D9B" w:rsidRDefault="00301D9B" w:rsidP="00522CE0">
      <w:r>
        <w:separator/>
      </w:r>
    </w:p>
  </w:footnote>
  <w:footnote w:type="continuationSeparator" w:id="0">
    <w:p w:rsidR="00301D9B" w:rsidRDefault="00301D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MM.DMR.CBH"/>
    <w:docVar w:name="CoverAttorneyInitials" w:val="DMR"/>
    <w:docVar w:name="CoverAttorneyLastName" w:val="Daina Riley"/>
    <w:docVar w:name="CoverBillType" w:val="b"/>
    <w:docVar w:name="CoverSenator" w:val="CBH"/>
    <w:docVar w:name="dvBillNumber" w:val="479"/>
    <w:docVar w:name="dvBillNumberPrefix" w:val="S. "/>
    <w:docVar w:name="dvOriginalBody" w:val="Senate"/>
    <w:docVar w:name="fulldraftpath" w:val="L:\S-RES\CBH\005COMM.DMR.CBH.DOCX"/>
    <w:docVar w:name="NameofBody" w:val="S"/>
    <w:docVar w:name="vgroup2" w:val="S-RES"/>
  </w:docVars>
  <w:rsids>
    <w:rsidRoot w:val="0077799B"/>
    <w:rsid w:val="0004104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0772"/>
    <w:rsid w:val="00245C4E"/>
    <w:rsid w:val="002C1321"/>
    <w:rsid w:val="002C2031"/>
    <w:rsid w:val="002C5896"/>
    <w:rsid w:val="002D3BED"/>
    <w:rsid w:val="00301D9B"/>
    <w:rsid w:val="00307C2B"/>
    <w:rsid w:val="00315D04"/>
    <w:rsid w:val="00383247"/>
    <w:rsid w:val="003D6E2B"/>
    <w:rsid w:val="003E25D6"/>
    <w:rsid w:val="003E7597"/>
    <w:rsid w:val="00413EBF"/>
    <w:rsid w:val="0044020F"/>
    <w:rsid w:val="00450668"/>
    <w:rsid w:val="00454138"/>
    <w:rsid w:val="004813A2"/>
    <w:rsid w:val="004952FA"/>
    <w:rsid w:val="004B6A22"/>
    <w:rsid w:val="004D7F37"/>
    <w:rsid w:val="00502CAF"/>
    <w:rsid w:val="005201E3"/>
    <w:rsid w:val="00522CE0"/>
    <w:rsid w:val="00541951"/>
    <w:rsid w:val="00565148"/>
    <w:rsid w:val="00570403"/>
    <w:rsid w:val="00576094"/>
    <w:rsid w:val="00593361"/>
    <w:rsid w:val="005A3E41"/>
    <w:rsid w:val="005A413B"/>
    <w:rsid w:val="005A5017"/>
    <w:rsid w:val="005A648C"/>
    <w:rsid w:val="005F07AC"/>
    <w:rsid w:val="005F1745"/>
    <w:rsid w:val="00626ED9"/>
    <w:rsid w:val="0068785E"/>
    <w:rsid w:val="0069545A"/>
    <w:rsid w:val="006A1802"/>
    <w:rsid w:val="006C0CBB"/>
    <w:rsid w:val="006C74EA"/>
    <w:rsid w:val="00712482"/>
    <w:rsid w:val="00720D40"/>
    <w:rsid w:val="007318D4"/>
    <w:rsid w:val="00765784"/>
    <w:rsid w:val="0077799B"/>
    <w:rsid w:val="007A4390"/>
    <w:rsid w:val="007E5CB7"/>
    <w:rsid w:val="008314D2"/>
    <w:rsid w:val="00870F6F"/>
    <w:rsid w:val="00882FB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CC5"/>
    <w:rsid w:val="00A86015"/>
    <w:rsid w:val="00A9594E"/>
    <w:rsid w:val="00AE0D71"/>
    <w:rsid w:val="00AE59C8"/>
    <w:rsid w:val="00B10098"/>
    <w:rsid w:val="00B1300D"/>
    <w:rsid w:val="00B5790D"/>
    <w:rsid w:val="00B945C5"/>
    <w:rsid w:val="00BA20EA"/>
    <w:rsid w:val="00BB5AFC"/>
    <w:rsid w:val="00BC0A56"/>
    <w:rsid w:val="00C3500C"/>
    <w:rsid w:val="00C45366"/>
    <w:rsid w:val="00C57023"/>
    <w:rsid w:val="00C66547"/>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2E6E"/>
    <w:rsid w:val="00E2236D"/>
    <w:rsid w:val="00E76AD9"/>
    <w:rsid w:val="00E91E2F"/>
    <w:rsid w:val="00EA3546"/>
    <w:rsid w:val="00EB47AE"/>
    <w:rsid w:val="00EC34E1"/>
    <w:rsid w:val="00EE22D4"/>
    <w:rsid w:val="00F0234A"/>
    <w:rsid w:val="00F05CF2"/>
    <w:rsid w:val="00F363C5"/>
    <w:rsid w:val="00F51241"/>
    <w:rsid w:val="00F52959"/>
    <w:rsid w:val="00F55884"/>
    <w:rsid w:val="00F7330B"/>
    <w:rsid w:val="00FB7F01"/>
    <w:rsid w:val="00FC0D36"/>
    <w:rsid w:val="00FC3A2B"/>
    <w:rsid w:val="00FE6467"/>
    <w:rsid w:val="00FF4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660A66CB-B1BA-4866-AB5A-69B805FE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2E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05.docx" TargetMode="External"/><Relationship Id="rId13" Type="http://schemas.openxmlformats.org/officeDocument/2006/relationships/hyperlink" Target="file:///h:\sj\20170407.docx" TargetMode="External"/><Relationship Id="rId18" Type="http://schemas.openxmlformats.org/officeDocument/2006/relationships/hyperlink" Target="file:///p:\pprever\2017-18\479_20170405.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70228.docx" TargetMode="External"/><Relationship Id="rId12" Type="http://schemas.openxmlformats.org/officeDocument/2006/relationships/hyperlink" Target="file:///h:\sj\20170406.docx" TargetMode="External"/><Relationship Id="rId17" Type="http://schemas.openxmlformats.org/officeDocument/2006/relationships/hyperlink" Target="file:///p:\pprever\2017-18\479_20170228.docx" TargetMode="External"/><Relationship Id="rId2" Type="http://schemas.openxmlformats.org/officeDocument/2006/relationships/settings" Target="settings.xml"/><Relationship Id="rId16" Type="http://schemas.openxmlformats.org/officeDocument/2006/relationships/hyperlink" Target="http://www.scstatehouse.gov/billsearch.php?billnumbers=479&amp;session=122&amp;summary=B"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228.docx" TargetMode="External"/><Relationship Id="rId11" Type="http://schemas.openxmlformats.org/officeDocument/2006/relationships/hyperlink" Target="file:///h:\sj\20170406.docx" TargetMode="External"/><Relationship Id="rId5" Type="http://schemas.openxmlformats.org/officeDocument/2006/relationships/endnotes" Target="endnotes.xml"/><Relationship Id="rId15" Type="http://schemas.openxmlformats.org/officeDocument/2006/relationships/hyperlink" Target="file:///h:\hj\20170418.docx" TargetMode="External"/><Relationship Id="rId10" Type="http://schemas.openxmlformats.org/officeDocument/2006/relationships/hyperlink" Target="file:///h:\sj\2017040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70405.docx" TargetMode="External"/><Relationship Id="rId14" Type="http://schemas.openxmlformats.org/officeDocument/2006/relationships/hyperlink" Target="file:///h:\hj\2017041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B546F66F.dotm</Template>
  <TotalTime>0</TotalTime>
  <Pages>3</Pages>
  <Words>1433</Words>
  <Characters>7466</Characters>
  <Application>Microsoft Office Word</Application>
  <DocSecurity>0</DocSecurity>
  <Lines>287</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 Commercial driver's license qualifications - South Carolina Legislature Online</dc:title>
  <dc:subject/>
  <dc:creator>%USERNAME%</dc:creator>
  <cp:keywords/>
  <dc:description/>
  <cp:lastModifiedBy>S Volk</cp:lastModifiedBy>
  <cp:revision>2</cp:revision>
  <dcterms:created xsi:type="dcterms:W3CDTF">2017-04-19T21:20:00Z</dcterms:created>
  <dcterms:modified xsi:type="dcterms:W3CDTF">2017-04-19T21:20:00Z</dcterms:modified>
</cp:coreProperties>
</file>