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FAD" w:rsidRDefault="00D27F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0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7B59">
        <w:rPr>
          <w:color w:val="000000" w:themeColor="text1"/>
          <w:u w:color="000000" w:themeColor="text1"/>
        </w:rPr>
        <w:t>TO AMEND SECTIONS 12</w:t>
      </w:r>
      <w:r>
        <w:rPr>
          <w:color w:val="000000" w:themeColor="text1"/>
          <w:u w:color="000000" w:themeColor="text1"/>
        </w:rPr>
        <w:noBreakHyphen/>
      </w:r>
      <w:r w:rsidRPr="00DF7B59">
        <w:rPr>
          <w:color w:val="000000" w:themeColor="text1"/>
          <w:u w:color="000000" w:themeColor="text1"/>
        </w:rPr>
        <w:t>67</w:t>
      </w:r>
      <w:r>
        <w:rPr>
          <w:color w:val="000000" w:themeColor="text1"/>
          <w:u w:color="000000" w:themeColor="text1"/>
        </w:rPr>
        <w:noBreakHyphen/>
      </w:r>
      <w:r w:rsidRPr="00DF7B59">
        <w:rPr>
          <w:color w:val="000000" w:themeColor="text1"/>
          <w:u w:color="000000" w:themeColor="text1"/>
        </w:rPr>
        <w:t>140 AND 12</w:t>
      </w:r>
      <w:r>
        <w:rPr>
          <w:color w:val="000000" w:themeColor="text1"/>
          <w:u w:color="000000" w:themeColor="text1"/>
        </w:rPr>
        <w:noBreakHyphen/>
      </w:r>
      <w:r w:rsidRPr="00DF7B59">
        <w:rPr>
          <w:color w:val="000000" w:themeColor="text1"/>
          <w:u w:color="000000" w:themeColor="text1"/>
        </w:rPr>
        <w:t>6</w:t>
      </w:r>
      <w:r>
        <w:rPr>
          <w:color w:val="000000" w:themeColor="text1"/>
          <w:u w:color="000000" w:themeColor="text1"/>
        </w:rPr>
        <w:noBreakHyphen/>
      </w:r>
      <w:r w:rsidRPr="00DF7B59">
        <w:rPr>
          <w:color w:val="000000" w:themeColor="text1"/>
          <w:u w:color="000000" w:themeColor="text1"/>
        </w:rPr>
        <w:t xml:space="preserve">3535, CODE OF LAWS OF SOUTH CAROLINA, </w:t>
      </w:r>
      <w:r>
        <w:rPr>
          <w:color w:val="000000" w:themeColor="text1"/>
          <w:u w:color="000000" w:themeColor="text1"/>
        </w:rPr>
        <w:t xml:space="preserve">1976, </w:t>
      </w:r>
      <w:r w:rsidRPr="00DF7B59">
        <w:rPr>
          <w:color w:val="000000" w:themeColor="text1"/>
          <w:u w:color="000000" w:themeColor="text1"/>
        </w:rPr>
        <w:t xml:space="preserve">RELATING TO THE TAX CREDIT FOR REHABILITATING AN ABANDONED BUILDING OR A </w:t>
      </w:r>
      <w:r>
        <w:rPr>
          <w:color w:val="000000" w:themeColor="text1"/>
          <w:u w:color="000000" w:themeColor="text1"/>
        </w:rPr>
        <w:t xml:space="preserve">CERTIFIED </w:t>
      </w:r>
      <w:r w:rsidRPr="00DF7B59">
        <w:rPr>
          <w:color w:val="000000" w:themeColor="text1"/>
          <w:u w:color="000000" w:themeColor="text1"/>
        </w:rPr>
        <w:t>HISTORIC</w:t>
      </w:r>
      <w:r>
        <w:rPr>
          <w:color w:val="000000" w:themeColor="text1"/>
          <w:u w:color="000000" w:themeColor="text1"/>
        </w:rPr>
        <w:t xml:space="preserve"> STRUCTURE</w:t>
      </w:r>
      <w:r w:rsidRPr="00DF7B59">
        <w:rPr>
          <w:color w:val="000000" w:themeColor="text1"/>
          <w:u w:color="000000" w:themeColor="text1"/>
        </w:rPr>
        <w:t xml:space="preserve">, RESPECTIVELY, SO AS TO SPECIFY THE MANNER IN WHICH UNUSED CREDIT MAY BE CARRIED FORWARD </w:t>
      </w:r>
      <w:r>
        <w:rPr>
          <w:color w:val="000000" w:themeColor="text1"/>
          <w:u w:color="000000" w:themeColor="text1"/>
        </w:rPr>
        <w:t xml:space="preserve">AND </w:t>
      </w:r>
      <w:r w:rsidRPr="00DF7B59">
        <w:rPr>
          <w:color w:val="000000" w:themeColor="text1"/>
          <w:u w:color="000000" w:themeColor="text1"/>
        </w:rPr>
        <w:t>ALLOCATED.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02C" w:rsidRDefault="009E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02C" w:rsidRDefault="009E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306" w:rsidRPr="00DF7B59" w:rsidRDefault="009E302C"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6306" w:rsidRPr="00DF7B59">
        <w:rPr>
          <w:color w:val="000000" w:themeColor="text1"/>
          <w:u w:color="000000" w:themeColor="text1"/>
        </w:rPr>
        <w:t>A.</w:t>
      </w:r>
      <w:r w:rsidR="004C6306" w:rsidRPr="00DF7B59">
        <w:rPr>
          <w:color w:val="000000" w:themeColor="text1"/>
          <w:u w:color="000000" w:themeColor="text1"/>
        </w:rPr>
        <w:tab/>
        <w:t>Section 12</w:t>
      </w:r>
      <w:r w:rsidR="004C6306">
        <w:rPr>
          <w:color w:val="000000" w:themeColor="text1"/>
          <w:u w:color="000000" w:themeColor="text1"/>
        </w:rPr>
        <w:noBreakHyphen/>
      </w:r>
      <w:r w:rsidR="004C6306" w:rsidRPr="00DF7B59">
        <w:rPr>
          <w:color w:val="000000" w:themeColor="text1"/>
          <w:u w:color="000000" w:themeColor="text1"/>
        </w:rPr>
        <w:t>67</w:t>
      </w:r>
      <w:r w:rsidR="004C6306">
        <w:rPr>
          <w:color w:val="000000" w:themeColor="text1"/>
          <w:u w:color="000000" w:themeColor="text1"/>
        </w:rPr>
        <w:noBreakHyphen/>
      </w:r>
      <w:r w:rsidR="004C6306" w:rsidRPr="00DF7B59">
        <w:rPr>
          <w:color w:val="000000" w:themeColor="text1"/>
          <w:u w:color="000000" w:themeColor="text1"/>
        </w:rPr>
        <w:t>140(B)(3)(a) of the 1976 Code is amended to read:</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F7B59">
        <w:rPr>
          <w:color w:val="000000" w:themeColor="text1"/>
          <w:u w:color="000000" w:themeColor="text1"/>
        </w:rPr>
        <w:t>(a)</w:t>
      </w:r>
      <w:r w:rsidRPr="00DF7B59">
        <w:rPr>
          <w:color w:val="000000" w:themeColor="text1"/>
          <w:u w:color="000000" w:themeColor="text1"/>
        </w:rPr>
        <w:tab/>
        <w:t>The entire credit is earned in the taxable year in which the applicable phase or portion of the building site is placed in service but must be taken in equal installments over a three</w:t>
      </w:r>
      <w:r>
        <w:rPr>
          <w:color w:val="000000" w:themeColor="text1"/>
          <w:u w:color="000000" w:themeColor="text1"/>
        </w:rPr>
        <w:noBreakHyphen/>
      </w:r>
      <w:r w:rsidRPr="00DF7B59">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r w:rsidRPr="00DF7B59">
        <w:rPr>
          <w:color w:val="000000" w:themeColor="text1"/>
          <w:u w:val="single" w:color="000000" w:themeColor="text1"/>
        </w:rPr>
        <w:t>at the individual, partnership, or limited liability company level</w:t>
      </w:r>
      <w:r w:rsidRPr="00DF7B59">
        <w:rPr>
          <w:color w:val="000000" w:themeColor="text1"/>
          <w:u w:color="000000" w:themeColor="text1"/>
        </w:rPr>
        <w:t>.”</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B.</w:t>
      </w:r>
      <w:r w:rsidRPr="00DF7B59">
        <w:rPr>
          <w:color w:val="000000" w:themeColor="text1"/>
          <w:u w:color="000000" w:themeColor="text1"/>
        </w:rPr>
        <w:tab/>
        <w:t>Section 12</w:t>
      </w:r>
      <w:r>
        <w:rPr>
          <w:color w:val="000000" w:themeColor="text1"/>
          <w:u w:color="000000" w:themeColor="text1"/>
        </w:rPr>
        <w:noBreakHyphen/>
      </w:r>
      <w:r w:rsidRPr="00DF7B59">
        <w:rPr>
          <w:color w:val="000000" w:themeColor="text1"/>
          <w:u w:color="000000" w:themeColor="text1"/>
        </w:rPr>
        <w:t>67</w:t>
      </w:r>
      <w:r>
        <w:rPr>
          <w:color w:val="000000" w:themeColor="text1"/>
          <w:u w:color="000000" w:themeColor="text1"/>
        </w:rPr>
        <w:noBreakHyphen/>
      </w:r>
      <w:r w:rsidRPr="00DF7B59">
        <w:rPr>
          <w:color w:val="000000" w:themeColor="text1"/>
          <w:u w:color="000000" w:themeColor="text1"/>
        </w:rPr>
        <w:t>140(B)(6) of the 1976 Code is amended to read:</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t>“(6)</w:t>
      </w:r>
      <w:r w:rsidRPr="00DF7B59">
        <w:rPr>
          <w:color w:val="000000" w:themeColor="text1"/>
          <w:u w:color="000000" w:themeColor="text1"/>
        </w:rPr>
        <w:tab/>
        <w:t>To the extent that the taxpayer is a partnership or a limited liability company taxed as a partnership, the credit</w:t>
      </w:r>
      <w:r w:rsidRPr="00DF7B59">
        <w:rPr>
          <w:color w:val="000000" w:themeColor="text1"/>
          <w:u w:val="single" w:color="000000" w:themeColor="text1"/>
        </w:rPr>
        <w:t>, including any unused credit amount carried forward,</w:t>
      </w:r>
      <w:r w:rsidRPr="00DF7B59">
        <w:rPr>
          <w:color w:val="000000" w:themeColor="text1"/>
          <w:u w:color="000000" w:themeColor="text1"/>
        </w:rPr>
        <w:t xml:space="preserve"> may be passed through to the partners or members and may be allocated among any of its partners or members </w:t>
      </w:r>
      <w:r w:rsidRPr="00DF7B59">
        <w:rPr>
          <w:color w:val="000000" w:themeColor="text1"/>
          <w:u w:val="single" w:color="000000" w:themeColor="text1"/>
        </w:rPr>
        <w:t>on an annual basis</w:t>
      </w:r>
      <w:r w:rsidRPr="00DF7B59">
        <w:rPr>
          <w:color w:val="000000" w:themeColor="text1"/>
          <w:u w:color="000000" w:themeColor="text1"/>
        </w:rPr>
        <w:t xml:space="preserve"> including, without limitation, an allocation of the entire credit </w:t>
      </w:r>
      <w:r w:rsidRPr="00DF7B59">
        <w:rPr>
          <w:color w:val="000000" w:themeColor="text1"/>
          <w:u w:val="single" w:color="000000" w:themeColor="text1"/>
        </w:rPr>
        <w:t>or unused carryforward</w:t>
      </w:r>
      <w:r w:rsidRPr="00DF7B59">
        <w:rPr>
          <w:color w:val="000000" w:themeColor="text1"/>
          <w:u w:color="000000" w:themeColor="text1"/>
        </w:rPr>
        <w:t xml:space="preserve"> to </w:t>
      </w:r>
      <w:r w:rsidRPr="00DF7B59">
        <w:rPr>
          <w:strike/>
          <w:color w:val="000000" w:themeColor="text1"/>
          <w:u w:color="000000" w:themeColor="text1"/>
        </w:rPr>
        <w:t>one</w:t>
      </w:r>
      <w:r w:rsidRPr="00DF7B59">
        <w:rPr>
          <w:color w:val="000000" w:themeColor="text1"/>
          <w:u w:color="000000" w:themeColor="text1"/>
        </w:rPr>
        <w:t xml:space="preserve"> </w:t>
      </w:r>
      <w:r w:rsidRPr="00DF7B59">
        <w:rPr>
          <w:color w:val="000000" w:themeColor="text1"/>
          <w:u w:val="single" w:color="000000" w:themeColor="text1"/>
        </w:rPr>
        <w:t>any</w:t>
      </w:r>
      <w:r w:rsidRPr="00DF7B59">
        <w:rPr>
          <w:color w:val="000000" w:themeColor="text1"/>
          <w:u w:color="000000" w:themeColor="text1"/>
        </w:rPr>
        <w:t xml:space="preserve"> partner or member</w:t>
      </w:r>
      <w:r w:rsidRPr="00DF7B59">
        <w:rPr>
          <w:strike/>
          <w:color w:val="000000" w:themeColor="text1"/>
          <w:u w:color="000000" w:themeColor="text1"/>
        </w:rPr>
        <w:t>,</w:t>
      </w:r>
      <w:r w:rsidRPr="00DF7B59">
        <w:rPr>
          <w:color w:val="000000" w:themeColor="text1"/>
          <w:u w:color="000000" w:themeColor="text1"/>
        </w:rPr>
        <w:t xml:space="preserve"> </w:t>
      </w:r>
      <w:r w:rsidRPr="00DF7B59">
        <w:rPr>
          <w:color w:val="000000" w:themeColor="text1"/>
          <w:u w:val="single" w:color="000000" w:themeColor="text1"/>
        </w:rPr>
        <w:t xml:space="preserve">who was a member or partner at any time in the year in which the credit or unused carryforward is allocated.  The </w:t>
      </w:r>
      <w:r w:rsidRPr="00DF7B59">
        <w:rPr>
          <w:color w:val="000000" w:themeColor="text1"/>
          <w:u w:val="single" w:color="000000" w:themeColor="text1"/>
        </w:rPr>
        <w:lastRenderedPageBreak/>
        <w:t>allocation must be allowed</w:t>
      </w:r>
      <w:r w:rsidRPr="00DF7B59">
        <w:rPr>
          <w:color w:val="000000" w:themeColor="text1"/>
          <w:u w:color="000000" w:themeColor="text1"/>
        </w:rPr>
        <w:t xml:space="preserve"> without regard to any provision of the Internal Revenue Code or regulations promulgated pursuant thereto, that may be interpreted as contrary to the allocation, including, without limitation, the treatment of the allocation as a disguised sale.”</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SECTION</w:t>
      </w:r>
      <w:r w:rsidRPr="00DF7B59">
        <w:rPr>
          <w:color w:val="000000" w:themeColor="text1"/>
          <w:u w:color="000000" w:themeColor="text1"/>
        </w:rPr>
        <w:tab/>
        <w:t>2.</w:t>
      </w:r>
      <w:r w:rsidRPr="00DF7B59">
        <w:rPr>
          <w:color w:val="000000" w:themeColor="text1"/>
          <w:u w:color="000000" w:themeColor="text1"/>
        </w:rPr>
        <w:tab/>
        <w:t>Section 12</w:t>
      </w:r>
      <w:r>
        <w:rPr>
          <w:color w:val="000000" w:themeColor="text1"/>
          <w:u w:color="000000" w:themeColor="text1"/>
        </w:rPr>
        <w:noBreakHyphen/>
      </w:r>
      <w:r w:rsidRPr="00DF7B59">
        <w:rPr>
          <w:color w:val="000000" w:themeColor="text1"/>
          <w:u w:color="000000" w:themeColor="text1"/>
        </w:rPr>
        <w:t>6</w:t>
      </w:r>
      <w:r>
        <w:rPr>
          <w:color w:val="000000" w:themeColor="text1"/>
          <w:u w:color="000000" w:themeColor="text1"/>
        </w:rPr>
        <w:noBreakHyphen/>
      </w:r>
      <w:r w:rsidRPr="00DF7B59">
        <w:rPr>
          <w:color w:val="000000" w:themeColor="text1"/>
          <w:u w:color="000000" w:themeColor="text1"/>
        </w:rPr>
        <w:t>3535(C) of the 1976 Code is amended to read:</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t>“(C)(1)</w:t>
      </w:r>
      <w:r w:rsidRPr="00DF7B59">
        <w:rPr>
          <w:color w:val="000000" w:themeColor="text1"/>
          <w:u w:color="000000" w:themeColor="text1"/>
        </w:rPr>
        <w:tab/>
        <w:t>The entire credit may not be taken for the taxable year in which the property is placed in service but must be taken in equal installments over a three</w:t>
      </w:r>
      <w:r>
        <w:rPr>
          <w:color w:val="000000" w:themeColor="text1"/>
          <w:u w:color="000000" w:themeColor="text1"/>
        </w:rPr>
        <w:noBreakHyphen/>
      </w:r>
      <w:r w:rsidRPr="00DF7B59">
        <w:rPr>
          <w:color w:val="000000" w:themeColor="text1"/>
          <w:u w:color="000000" w:themeColor="text1"/>
        </w:rPr>
        <w:t xml:space="preserve">year period beginning with the year in which the property is placed in service. </w:t>
      </w:r>
      <w:r w:rsidRPr="004C6306">
        <w:rPr>
          <w:color w:val="000000" w:themeColor="text1"/>
          <w:u w:color="000000" w:themeColor="text1"/>
        </w:rPr>
        <w:t>‘</w:t>
      </w:r>
      <w:r w:rsidRPr="00DF7B59">
        <w:rPr>
          <w:color w:val="000000" w:themeColor="text1"/>
          <w:u w:color="000000" w:themeColor="text1"/>
        </w:rPr>
        <w:t>Placed in service</w:t>
      </w:r>
      <w:r w:rsidRPr="004C6306">
        <w:rPr>
          <w:color w:val="000000" w:themeColor="text1"/>
          <w:u w:color="000000" w:themeColor="text1"/>
        </w:rPr>
        <w:t>’</w:t>
      </w:r>
      <w:r w:rsidRPr="00DF7B59">
        <w:rPr>
          <w:color w:val="000000" w:themeColor="text1"/>
          <w:u w:color="000000" w:themeColor="text1"/>
        </w:rPr>
        <w:t xml:space="preserve"> means the rehabilitation is completed and allows for the intended use. Any unused portion of any credit installment may be carried forward for the succeeding five years </w:t>
      </w:r>
      <w:r w:rsidRPr="00DF7B59">
        <w:rPr>
          <w:color w:val="000000" w:themeColor="text1"/>
          <w:u w:val="single" w:color="000000" w:themeColor="text1"/>
        </w:rPr>
        <w:t>at the individual, partnership, or limited liability company level</w:t>
      </w:r>
      <w:r w:rsidRPr="00DF7B59">
        <w:rPr>
          <w:color w:val="000000" w:themeColor="text1"/>
          <w:u w:color="000000" w:themeColor="text1"/>
        </w:rPr>
        <w:t>.</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r>
      <w:r w:rsidRPr="00DF7B59">
        <w:rPr>
          <w:color w:val="000000" w:themeColor="text1"/>
          <w:u w:color="000000" w:themeColor="text1"/>
        </w:rPr>
        <w:tab/>
        <w:t>(2)</w:t>
      </w:r>
      <w:r w:rsidRPr="00DF7B59">
        <w:rPr>
          <w:color w:val="000000" w:themeColor="text1"/>
          <w:u w:color="000000" w:themeColor="text1"/>
        </w:rPr>
        <w:tab/>
        <w:t xml:space="preserve">The credit earned pursuant to this section by an </w:t>
      </w:r>
      <w:r w:rsidRPr="004C6306">
        <w:rPr>
          <w:color w:val="000000" w:themeColor="text1"/>
          <w:u w:color="000000" w:themeColor="text1"/>
        </w:rPr>
        <w:t>‘</w:t>
      </w:r>
      <w:r w:rsidRPr="00DF7B59">
        <w:rPr>
          <w:color w:val="000000" w:themeColor="text1"/>
          <w:u w:color="000000" w:themeColor="text1"/>
        </w:rPr>
        <w:t>S</w:t>
      </w:r>
      <w:r w:rsidRPr="004C6306">
        <w:rPr>
          <w:color w:val="000000" w:themeColor="text1"/>
          <w:u w:color="000000" w:themeColor="text1"/>
        </w:rPr>
        <w:t>’</w:t>
      </w:r>
      <w:r w:rsidRPr="00DF7B59">
        <w:rPr>
          <w:color w:val="000000" w:themeColor="text1"/>
          <w:u w:color="000000" w:themeColor="text1"/>
        </w:rPr>
        <w:t xml:space="preserve"> corporation owing corporate level income tax must be used first at the entity level. Remaining credit passes through to each shareholder in a percentage equal to each shareholder</w:t>
      </w:r>
      <w:r w:rsidRPr="004C6306">
        <w:rPr>
          <w:color w:val="000000" w:themeColor="text1"/>
          <w:u w:color="000000" w:themeColor="text1"/>
        </w:rPr>
        <w:t>’</w:t>
      </w:r>
      <w:r w:rsidRPr="00DF7B59">
        <w:rPr>
          <w:color w:val="000000" w:themeColor="text1"/>
          <w:u w:color="000000" w:themeColor="text1"/>
        </w:rPr>
        <w:t>s percentage of stock ownership. The credit</w:t>
      </w:r>
      <w:r w:rsidRPr="00DF7B59">
        <w:rPr>
          <w:color w:val="000000" w:themeColor="text1"/>
          <w:u w:val="single" w:color="000000" w:themeColor="text1"/>
        </w:rPr>
        <w:t>, including any unused credit amount carried forward,</w:t>
      </w:r>
      <w:r w:rsidRPr="00DF7B59">
        <w:rPr>
          <w:color w:val="000000" w:themeColor="text1"/>
          <w:u w:color="000000" w:themeColor="text1"/>
        </w:rPr>
        <w:t xml:space="preserve"> earned pursuant to this section by a general partnership, limited partnership, limited liability company, or other pass</w:t>
      </w:r>
      <w:r>
        <w:rPr>
          <w:color w:val="000000" w:themeColor="text1"/>
          <w:u w:color="000000" w:themeColor="text1"/>
        </w:rPr>
        <w:noBreakHyphen/>
      </w:r>
      <w:r w:rsidRPr="00DF7B59">
        <w:rPr>
          <w:color w:val="000000" w:themeColor="text1"/>
          <w:u w:color="000000" w:themeColor="text1"/>
        </w:rPr>
        <w:t>through entity, as defined in Section 12</w:t>
      </w:r>
      <w:r>
        <w:rPr>
          <w:color w:val="000000" w:themeColor="text1"/>
          <w:u w:color="000000" w:themeColor="text1"/>
        </w:rPr>
        <w:noBreakHyphen/>
      </w:r>
      <w:r w:rsidRPr="00DF7B59">
        <w:rPr>
          <w:color w:val="000000" w:themeColor="text1"/>
          <w:u w:color="000000" w:themeColor="text1"/>
        </w:rPr>
        <w:t>6</w:t>
      </w:r>
      <w:r>
        <w:rPr>
          <w:color w:val="000000" w:themeColor="text1"/>
          <w:u w:color="000000" w:themeColor="text1"/>
        </w:rPr>
        <w:noBreakHyphen/>
      </w:r>
      <w:r w:rsidRPr="00DF7B59">
        <w:rPr>
          <w:color w:val="000000" w:themeColor="text1"/>
          <w:u w:color="000000" w:themeColor="text1"/>
        </w:rPr>
        <w:t xml:space="preserve">545, must be passed through to its partners and may be allocated among partners, including, without limitation, an allocation of the entire credit </w:t>
      </w:r>
      <w:r w:rsidRPr="00DF7B59">
        <w:rPr>
          <w:color w:val="000000" w:themeColor="text1"/>
          <w:u w:val="single" w:color="000000" w:themeColor="text1"/>
        </w:rPr>
        <w:t>or unused carryforward</w:t>
      </w:r>
      <w:r w:rsidRPr="00DF7B59">
        <w:rPr>
          <w:color w:val="000000" w:themeColor="text1"/>
          <w:u w:color="000000" w:themeColor="text1"/>
        </w:rPr>
        <w:t xml:space="preserve"> to </w:t>
      </w:r>
      <w:r w:rsidRPr="00DF7B59">
        <w:rPr>
          <w:strike/>
          <w:color w:val="000000" w:themeColor="text1"/>
          <w:u w:color="000000" w:themeColor="text1"/>
        </w:rPr>
        <w:t>one</w:t>
      </w:r>
      <w:r w:rsidRPr="00DF7B59">
        <w:rPr>
          <w:color w:val="000000" w:themeColor="text1"/>
          <w:u w:color="000000" w:themeColor="text1"/>
        </w:rPr>
        <w:t xml:space="preserve"> </w:t>
      </w:r>
      <w:r w:rsidRPr="00DF7B59">
        <w:rPr>
          <w:color w:val="000000" w:themeColor="text1"/>
          <w:u w:val="single" w:color="000000" w:themeColor="text1"/>
        </w:rPr>
        <w:t>any</w:t>
      </w:r>
      <w:r w:rsidRPr="00DF7B59">
        <w:rPr>
          <w:color w:val="000000" w:themeColor="text1"/>
          <w:u w:color="000000" w:themeColor="text1"/>
        </w:rPr>
        <w:t xml:space="preserve"> partner </w:t>
      </w:r>
      <w:r w:rsidRPr="00DF7B59">
        <w:rPr>
          <w:color w:val="000000" w:themeColor="text1"/>
          <w:u w:val="single" w:color="000000" w:themeColor="text1"/>
        </w:rPr>
        <w:t>who was a member or partner at any time in the year in which the credit or unused carryforward is allocated</w:t>
      </w:r>
      <w:r w:rsidRPr="00DF7B59">
        <w:rPr>
          <w:color w:val="000000" w:themeColor="text1"/>
          <w:u w:color="000000" w:themeColor="text1"/>
        </w:rPr>
        <w:t xml:space="preserve">, in a manner agreed </w:t>
      </w:r>
      <w:r w:rsidRPr="00DF7B59">
        <w:rPr>
          <w:color w:val="000000" w:themeColor="text1"/>
          <w:u w:val="single" w:color="000000" w:themeColor="text1"/>
        </w:rPr>
        <w:t>to</w:t>
      </w:r>
      <w:r w:rsidRPr="00DF7B59">
        <w:rPr>
          <w:color w:val="000000" w:themeColor="text1"/>
          <w:u w:color="000000" w:themeColor="text1"/>
        </w:rPr>
        <w:t xml:space="preserve"> by the partners </w:t>
      </w:r>
      <w:r w:rsidRPr="00DF7B59">
        <w:rPr>
          <w:color w:val="000000" w:themeColor="text1"/>
          <w:u w:val="single" w:color="000000" w:themeColor="text1"/>
        </w:rPr>
        <w:t>or members</w:t>
      </w:r>
      <w:r w:rsidRPr="00DF7B59">
        <w:rPr>
          <w:color w:val="000000" w:themeColor="text1"/>
          <w:u w:color="000000" w:themeColor="text1"/>
        </w:rPr>
        <w:t xml:space="preserve">. As used in this item the term </w:t>
      </w:r>
      <w:r w:rsidRPr="004C6306">
        <w:rPr>
          <w:color w:val="000000" w:themeColor="text1"/>
          <w:u w:color="000000" w:themeColor="text1"/>
        </w:rPr>
        <w:t>‘</w:t>
      </w:r>
      <w:r w:rsidRPr="00DF7B59">
        <w:rPr>
          <w:color w:val="000000" w:themeColor="text1"/>
          <w:u w:color="000000" w:themeColor="text1"/>
        </w:rPr>
        <w:t>partner</w:t>
      </w:r>
      <w:r w:rsidRPr="004C6306">
        <w:rPr>
          <w:color w:val="000000" w:themeColor="text1"/>
          <w:u w:color="000000" w:themeColor="text1"/>
        </w:rPr>
        <w:t>’</w:t>
      </w:r>
      <w:r w:rsidRPr="00DF7B59">
        <w:rPr>
          <w:color w:val="000000" w:themeColor="text1"/>
          <w:u w:color="000000" w:themeColor="text1"/>
        </w:rPr>
        <w:t xml:space="preserve"> means a partner, member, or owner of an interest in the pass</w:t>
      </w:r>
      <w:r>
        <w:rPr>
          <w:color w:val="000000" w:themeColor="text1"/>
          <w:u w:color="000000" w:themeColor="text1"/>
        </w:rPr>
        <w:noBreakHyphen/>
      </w:r>
      <w:r w:rsidRPr="00DF7B59">
        <w:rPr>
          <w:color w:val="000000" w:themeColor="text1"/>
          <w:u w:color="000000" w:themeColor="text1"/>
        </w:rPr>
        <w:t>through entity, as applicable. If the taxpayer makes a pass</w:t>
      </w:r>
      <w:r>
        <w:rPr>
          <w:color w:val="000000" w:themeColor="text1"/>
          <w:u w:color="000000" w:themeColor="text1"/>
        </w:rPr>
        <w:noBreakHyphen/>
      </w:r>
      <w:r w:rsidRPr="00DF7B59">
        <w:rPr>
          <w:color w:val="000000" w:themeColor="text1"/>
          <w:u w:color="000000" w:themeColor="text1"/>
        </w:rPr>
        <w:t>through election under Section 50(d) of the Internal Revenue Code, the taxpayer may elect to pass the credit claimed pursuant to this section to the tenant of the eligible structure or to retain the credit.”</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302C" w:rsidRDefault="004C6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B59">
        <w:rPr>
          <w:color w:val="000000" w:themeColor="text1"/>
          <w:u w:color="000000" w:themeColor="text1"/>
        </w:rPr>
        <w:t>SECTION</w:t>
      </w:r>
      <w:r w:rsidRPr="00DF7B59">
        <w:rPr>
          <w:color w:val="000000" w:themeColor="text1"/>
          <w:u w:color="000000" w:themeColor="text1"/>
        </w:rPr>
        <w:tab/>
        <w:t>3.</w:t>
      </w:r>
      <w:r w:rsidRPr="00DF7B59">
        <w:rPr>
          <w:color w:val="000000" w:themeColor="text1"/>
          <w:u w:color="000000" w:themeColor="text1"/>
        </w:rPr>
        <w:tab/>
        <w:t>This act takes effect upon approval by the Governor and first applies to projects placed in service after 2016 and for all tax years for which final returns have not been filed before May 1, 2018.</w:t>
      </w:r>
    </w:p>
    <w:p w:rsidR="001336F1" w:rsidRDefault="004C63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FAD" w:rsidRDefault="00D27FAD" w:rsidP="00D27FAD">
      <w:pPr>
        <w:suppressAutoHyphens/>
      </w:pPr>
    </w:p>
    <w:sectPr w:rsidR="00D27FAD" w:rsidSect="00D27F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02C" w:rsidRDefault="009E302C" w:rsidP="009F0C77">
      <w:r>
        <w:separator/>
      </w:r>
    </w:p>
  </w:endnote>
  <w:endnote w:type="continuationSeparator" w:id="0">
    <w:p w:rsidR="009E302C" w:rsidRDefault="009E3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798115-7C52-4480-8F7A-96FBD770E0AB}"/>
    <w:embedBold r:id="rId2" w:fontKey="{73F831C4-B182-4948-A047-5A79A99A3D9A}"/>
  </w:font>
  <w:font w:name="Calibri">
    <w:panose1 w:val="020F0502020204030204"/>
    <w:charset w:val="00"/>
    <w:family w:val="swiss"/>
    <w:pitch w:val="variable"/>
    <w:sig w:usb0="E00002FF" w:usb1="4000ACFF" w:usb2="00000001" w:usb3="00000000" w:csb0="0000019F" w:csb1="00000000"/>
    <w:embedRegular r:id="rId3" w:fontKey="{44511EA7-4E57-45FD-9A21-959E1981DF45}"/>
  </w:font>
  <w:font w:name="Cambria">
    <w:panose1 w:val="02040503050406030204"/>
    <w:charset w:val="00"/>
    <w:family w:val="roman"/>
    <w:pitch w:val="variable"/>
    <w:sig w:usb0="E00002FF" w:usb1="400004FF" w:usb2="00000000" w:usb3="00000000" w:csb0="0000019F" w:csb1="00000000"/>
    <w:embedRegular r:id="rId4" w:fontKey="{B20FB84F-9E69-4EDE-99D7-7999E72BD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6F1" w:rsidRPr="00D27FAD" w:rsidRDefault="00D27FAD" w:rsidP="00D27FAD">
    <w:pPr>
      <w:pStyle w:val="Footer"/>
      <w:tabs>
        <w:tab w:val="clear" w:pos="4680"/>
        <w:tab w:val="clear" w:pos="9360"/>
        <w:tab w:val="center" w:pos="2995"/>
      </w:tabs>
      <w:spacing w:before="120"/>
    </w:pPr>
    <w:r>
      <w:t>[1019]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02C" w:rsidRDefault="009E302C" w:rsidP="009F0C77">
      <w:r>
        <w:separator/>
      </w:r>
    </w:p>
  </w:footnote>
  <w:footnote w:type="continuationSeparator" w:id="0">
    <w:p w:rsidR="009E302C" w:rsidRDefault="009E3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55DG18"/>
    <w:docVar w:name="CoverBillType" w:val="b"/>
    <w:docVar w:name="DocPath" w:val="L:\Council\bills\BBM\9755DG18.DOCX"/>
    <w:docVar w:name="dvBillNumber" w:val="1019"/>
    <w:docVar w:name="dvBillNumberPrefix" w:val="S. "/>
    <w:docVar w:name="dvOriginalBody" w:val="Senate"/>
    <w:docVar w:name="dvSteno" w:val="BBM"/>
    <w:docVar w:name="NameofBody" w:val="s"/>
    <w:docVar w:name="vGroup2" w:val="Council"/>
  </w:docVars>
  <w:rsids>
    <w:rsidRoot w:val="009E302C"/>
    <w:rsid w:val="000263D9"/>
    <w:rsid w:val="00026C9A"/>
    <w:rsid w:val="000965A1"/>
    <w:rsid w:val="000C487D"/>
    <w:rsid w:val="000E1785"/>
    <w:rsid w:val="000F39F2"/>
    <w:rsid w:val="001023A4"/>
    <w:rsid w:val="0010776B"/>
    <w:rsid w:val="001336F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2035"/>
    <w:rsid w:val="00386592"/>
    <w:rsid w:val="00393688"/>
    <w:rsid w:val="003D411E"/>
    <w:rsid w:val="003E3C1E"/>
    <w:rsid w:val="003E6148"/>
    <w:rsid w:val="003E7D04"/>
    <w:rsid w:val="00400EAA"/>
    <w:rsid w:val="0041760A"/>
    <w:rsid w:val="004203D7"/>
    <w:rsid w:val="004809EE"/>
    <w:rsid w:val="004B2A8B"/>
    <w:rsid w:val="004C630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91E"/>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302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7FAD"/>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4E42E3-0FB1-4F36-9415-8367EAAD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22604-CF14-4D4A-9E21-EA69052A1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2</Pages>
  <Words>624</Words>
  <Characters>3134</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1019 Text of Previous Version (Feb. 15, 2018) - South Carolina Legislature Online</dc:title>
  <dc:subject/>
  <dc:creator>BRENDA MELTON</dc:creator>
  <cp:keywords/>
  <dc:description/>
  <cp:lastModifiedBy>S Volk</cp:lastModifiedBy>
  <cp:revision>2</cp:revision>
  <dcterms:created xsi:type="dcterms:W3CDTF">2018-02-15T16:52:00Z</dcterms:created>
  <dcterms:modified xsi:type="dcterms:W3CDTF">2018-02-15T16:52:00Z</dcterms:modified>
</cp:coreProperties>
</file>