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Pr="00B7034F" w:rsidRDefault="00B7034F" w:rsidP="00B7034F">
      <w:pPr>
        <w:tabs>
          <w:tab w:val="right" w:pos="5933"/>
        </w:tabs>
        <w:suppressAutoHyphens/>
      </w:pPr>
      <w:r>
        <w:tab/>
      </w:r>
      <w:r>
        <w:rPr>
          <w:b/>
          <w:sz w:val="36"/>
        </w:rPr>
        <w:t>H. 3429</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2/14/17--H.</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034F"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1"/>
    </w:p>
    <w:p w:rsidR="0010776B" w:rsidRDefault="00B70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034F" w:rsidRDefault="00B70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780576">
        <w:rPr>
          <w:u w:val="single"/>
        </w:rPr>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0576">
        <w:tab/>
      </w:r>
      <w:r w:rsidRPr="00780576">
        <w:tab/>
      </w:r>
      <w:r w:rsidRPr="00780576">
        <w:tab/>
      </w:r>
      <w:r w:rsidRPr="00780576">
        <w:rPr>
          <w:u w:val="single" w:color="000000" w:themeColor="text1"/>
        </w:rPr>
        <w:t>(b)</w:t>
      </w:r>
      <w:r w:rsidRPr="00780576">
        <w:rPr>
          <w:u w:val="single" w:color="000000" w:themeColor="text1"/>
        </w:rPr>
        <w:tab/>
        <w:t xml:space="preserve">A surviving spouse may exempt, in addition to the aggregate interest, not to exceed fifty thousand dollars, owned in the residence prior to the death of the decedent spouse, the aggregate interest to which the surviving spouse succeeded by inheritance, </w:t>
      </w:r>
      <w:r w:rsidRPr="00780576">
        <w:rPr>
          <w:u w:val="single" w:color="000000" w:themeColor="text1"/>
        </w:rPr>
        <w:lastRenderedPageBreak/>
        <w:t>testamentary transfer, or non</w:t>
      </w:r>
      <w:r w:rsidRPr="00780576">
        <w:rPr>
          <w:u w:val="single" w:color="000000" w:themeColor="text1"/>
        </w:rPr>
        <w:noBreakHyphen/>
        <w:t>probate transfer on the death of the decedent spouse, not to exceed fifty thousand dollars.  For purposes of this subsection, a surviving spouse means a spouse married to the decedent at the time of the death, who has not remarried, and who is living in the residence or cooperative that is used as a residence.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(10)</w:t>
      </w:r>
      <w:r w:rsidRPr="00780576">
        <w:tab/>
        <w:t>Professionally prescribed health aids for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(11)</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r>
      <w:r w:rsidRPr="00780576">
        <w:tab/>
        <w:t>(a)</w:t>
      </w:r>
      <w:r w:rsidRPr="00780576">
        <w:tab/>
        <w:t>a social security benefit, unemployment compensation, or a local public assistance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40(A). The interest of an individual under a retirement plan shall be exempt from creditor process to the same extent permitted in Section 522(d) under federal bankruptcy law and is an exception to Section 15</w:t>
      </w:r>
      <w:r w:rsidRPr="00780576">
        <w:noBreakHyphen/>
        <w:t>41</w:t>
      </w:r>
      <w:r w:rsidRPr="00780576">
        <w:noBreakHyphen/>
        <w:t>35. The exemption provided by this section shall be available whether such individual has an interest in the retirement plan as a participant, beneficiary, contingent annuitant, alternate payee, or otherwise.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lastRenderedPageBreak/>
        <w:tab/>
      </w:r>
      <w:r w:rsidRPr="00780576">
        <w:tab/>
        <w:t>(14)</w:t>
      </w:r>
      <w:r w:rsidRPr="00780576">
        <w:tab/>
        <w:t>The debtor’s interest in a pension plan qualified under the Employee Retirement Income Security Act of 1974, as amended.</w:t>
      </w: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Pr="00780576">
        <w:rPr>
          <w:u w:val="single" w:color="000000" w:themeColor="text1"/>
        </w:rPr>
        <w:t>(15)</w:t>
      </w:r>
      <w:r w:rsidRPr="00780576">
        <w:rPr>
          <w:u w:color="000000" w:themeColor="text1"/>
        </w:rPr>
        <w:tab/>
      </w:r>
      <w:r w:rsidRPr="00780576">
        <w:rPr>
          <w:u w:val="single" w:color="000000" w:themeColor="text1"/>
        </w:rPr>
        <w:t>The debtor’s aggregate interest, not to exceed ten thousand dollars in value, in any rifle, shotgun, pistol, or any combination of those owned by the debtor.</w:t>
      </w:r>
      <w:r w:rsidRPr="00780576">
        <w:rPr>
          <w:u w:color="000000" w:themeColor="text1"/>
        </w:rPr>
        <w:t>”</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0576">
        <w:t>SECTION</w:t>
      </w:r>
      <w:r w:rsidRPr="00780576">
        <w:tab/>
        <w:t>2.</w:t>
      </w:r>
      <w:r w:rsidRPr="00780576">
        <w:tab/>
        <w:t>This act takes effect</w:t>
      </w:r>
      <w:r>
        <w:t xml:space="preserve"> upon approval by the Governor.</w:t>
      </w:r>
    </w:p>
    <w:p w:rsidR="005D15B3" w:rsidRDefault="0010776B" w:rsidP="005D1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D15B3"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8956F0-49F1-43E2-8876-A8999A1BB5B1}"/>
    <w:embedBold r:id="rId2" w:fontKey="{B64EA907-AC08-4FAA-9C5F-2B8AC3561829}"/>
  </w:font>
  <w:font w:name="Calibri">
    <w:panose1 w:val="020F0502020204030204"/>
    <w:charset w:val="00"/>
    <w:family w:val="swiss"/>
    <w:pitch w:val="variable"/>
    <w:sig w:usb0="E00002FF" w:usb1="4000ACFF" w:usb2="00000001" w:usb3="00000000" w:csb0="0000019F" w:csb1="00000000"/>
    <w:embedRegular r:id="rId3" w:fontKey="{46A24F63-239F-47C1-9F7D-52322771C0C5}"/>
  </w:font>
  <w:font w:name="Segoe UI">
    <w:panose1 w:val="020B0502040204020203"/>
    <w:charset w:val="00"/>
    <w:family w:val="swiss"/>
    <w:pitch w:val="variable"/>
    <w:sig w:usb0="E10022FF" w:usb1="C000E47F" w:usb2="00000029" w:usb3="00000000" w:csb0="000001DF" w:csb1="00000000"/>
    <w:embedRegular r:id="rId4" w:fontKey="{05C67AFB-DDA3-4DB0-BA36-D028D240F0C3}"/>
  </w:font>
  <w:font w:name="Cambria">
    <w:panose1 w:val="02040503050406030204"/>
    <w:charset w:val="00"/>
    <w:family w:val="roman"/>
    <w:pitch w:val="variable"/>
    <w:sig w:usb0="E00002FF" w:usb1="400004FF" w:usb2="00000000" w:usb3="00000000" w:csb0="0000019F" w:csb1="00000000"/>
    <w:embedRegular r:id="rId5" w:fontKey="{44ABC0F6-A9D0-4AC1-A267-75C4B78E47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E9382E">
      <w:rPr>
        <w:noProof/>
      </w:rPr>
      <w:t>1</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5D15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5B3"/>
    <w:rsid w:val="005E2BC9"/>
    <w:rsid w:val="00605102"/>
    <w:rsid w:val="006215AA"/>
    <w:rsid w:val="006913C9"/>
    <w:rsid w:val="0069470D"/>
    <w:rsid w:val="006D58AA"/>
    <w:rsid w:val="006E7E24"/>
    <w:rsid w:val="007117FA"/>
    <w:rsid w:val="00734F00"/>
    <w:rsid w:val="007A70AE"/>
    <w:rsid w:val="007F0659"/>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34F"/>
    <w:rsid w:val="00BE3C22"/>
    <w:rsid w:val="00C0345E"/>
    <w:rsid w:val="00C31C95"/>
    <w:rsid w:val="00C3483A"/>
    <w:rsid w:val="00C74E9D"/>
    <w:rsid w:val="00C826DD"/>
    <w:rsid w:val="00C82FD3"/>
    <w:rsid w:val="00C92819"/>
    <w:rsid w:val="00CC6B7B"/>
    <w:rsid w:val="00CD2089"/>
    <w:rsid w:val="00D62176"/>
    <w:rsid w:val="00D73A67"/>
    <w:rsid w:val="00D94DB2"/>
    <w:rsid w:val="00D96067"/>
    <w:rsid w:val="00D970A9"/>
    <w:rsid w:val="00DF3845"/>
    <w:rsid w:val="00E41911"/>
    <w:rsid w:val="00E44B57"/>
    <w:rsid w:val="00E92EEF"/>
    <w:rsid w:val="00E9382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CE767-5B4E-463A-943F-1B8C07F6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182E7699.dotm</Template>
  <TotalTime>0</TotalTime>
  <Pages>5</Pages>
  <Words>1154</Words>
  <Characters>5839</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(Feb. 14, 2017) - South Carolina Legislature Online</dc:title>
  <dc:creator>%USERNAME%</dc:creator>
  <cp:lastModifiedBy>Miriam Cook</cp:lastModifiedBy>
  <cp:revision>2</cp:revision>
  <cp:lastPrinted>2017-02-08T18:41:00Z</cp:lastPrinted>
  <dcterms:created xsi:type="dcterms:W3CDTF">2017-02-14T23:45:00Z</dcterms:created>
  <dcterms:modified xsi:type="dcterms:W3CDTF">2017-02-14T23:45:00Z</dcterms:modified>
</cp:coreProperties>
</file>