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Pr="00280AFC" w:rsidRDefault="00280AFC" w:rsidP="00280AFC">
      <w:pPr>
        <w:tabs>
          <w:tab w:val="right" w:pos="5933"/>
        </w:tabs>
        <w:suppressAutoHyphens/>
      </w:pPr>
      <w:r>
        <w:tab/>
      </w:r>
      <w:r>
        <w:rPr>
          <w:b/>
          <w:sz w:val="36"/>
        </w:rPr>
        <w:t>S. 345</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McElveen, Scott and Fanning</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280AFC" w:rsidRP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80AFC" w:rsidRP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345) to amend the Code of Laws of South Carolina, 1976, by adding Section 40</w:t>
      </w:r>
      <w:r>
        <w:noBreakHyphen/>
        <w:t>33</w:t>
      </w:r>
      <w:r>
        <w:noBreakHyphen/>
        <w:t>55 so as to provide certain nursing professionals may provide noncontrolled prescription drugs, etc., respectfully</w:t>
      </w:r>
    </w:p>
    <w:p w:rsidR="00280AFC" w:rsidRP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80AFC" w:rsidRP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AFC" w:rsidRDefault="00280AFC"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Pr="00280AFC" w:rsidRDefault="00280AFC" w:rsidP="0028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80AFC" w:rsidRPr="00280AFC" w:rsidRDefault="00280AFC" w:rsidP="00280AFC">
      <w:pPr>
        <w:pStyle w:val="BillDots0"/>
        <w:rPr>
          <w:b/>
        </w:rPr>
      </w:pPr>
      <w:r w:rsidRPr="00280AFC">
        <w:rPr>
          <w:b/>
        </w:rPr>
        <w:t>Explanation of Fiscal Impact</w:t>
      </w:r>
    </w:p>
    <w:p w:rsidR="00280AFC" w:rsidRPr="00280AFC" w:rsidRDefault="00280AFC" w:rsidP="00280AFC">
      <w:pPr>
        <w:pStyle w:val="BillDots0"/>
        <w:rPr>
          <w:rFonts w:eastAsiaTheme="minorHAnsi"/>
          <w:b/>
        </w:rPr>
      </w:pPr>
      <w:r w:rsidRPr="00280AFC">
        <w:rPr>
          <w:rFonts w:eastAsiaTheme="minorHAnsi"/>
          <w:b/>
        </w:rPr>
        <w:t>Introduced on February 1, 2017</w:t>
      </w:r>
    </w:p>
    <w:p w:rsidR="00280AFC" w:rsidRPr="00CE0AD9" w:rsidRDefault="00280AFC" w:rsidP="00280AFC">
      <w:pPr>
        <w:pStyle w:val="BillDots0"/>
        <w:rPr>
          <w:rFonts w:eastAsiaTheme="minorHAnsi"/>
        </w:rPr>
      </w:pPr>
      <w:r w:rsidRPr="00280AFC">
        <w:rPr>
          <w:rFonts w:eastAsiaTheme="minorHAnsi"/>
          <w:b/>
        </w:rPr>
        <w:t>State Expenditure</w:t>
      </w:r>
    </w:p>
    <w:p w:rsidR="00280AFC" w:rsidRPr="00CE0AD9" w:rsidRDefault="00280AFC" w:rsidP="00280AFC">
      <w:pPr>
        <w:pStyle w:val="BillDots0"/>
      </w:pPr>
      <w:r>
        <w:tab/>
      </w:r>
      <w:r w:rsidRPr="00CE0AD9">
        <w:t xml:space="preserve">This bill expands the scope of practice for certain advanced practice nursing professionals (APRNs) without the requirement for direct or general medical supervision. APRNs include nurse practitioners, certified nurse midwives, and clinical nurse specialists. Examples of the expanded scope include the authorization to provide non-controlled prescription drugs at facilities that provide free medical services to indigents, authorization to certify that a student is unable to attend school but may benefit from bedside instruction, authorization to refer patients to other treatment providers, authorization to certify that an individual is handicapped for purposes of obtaining a handicapped </w:t>
      </w:r>
      <w:r w:rsidRPr="00CE0AD9">
        <w:lastRenderedPageBreak/>
        <w:t>license tag, and authorization to pronounce death and sign death certificates. APRNs diagnosing and prescribing may deliver services via telehealth and must operate within a collaborative practice arrangement. The bill amends definitions to conform to these changes.</w:t>
      </w:r>
    </w:p>
    <w:p w:rsidR="00280AFC" w:rsidRPr="00CE0AD9" w:rsidRDefault="00280AFC" w:rsidP="00280AFC">
      <w:pPr>
        <w:pStyle w:val="BillDots0"/>
      </w:pPr>
      <w:r w:rsidRPr="00CE0AD9">
        <w:rPr>
          <w:b/>
        </w:rPr>
        <w:t>Department of Labor, Licensing and Regulation</w:t>
      </w:r>
      <w:r w:rsidRPr="00CE0AD9">
        <w:t>. The department indicates that this bill affects the scope of nursing practice for certain advanced practice nurses and does not affect the agency’s role in regulating these professionals. This bill would hav</w:t>
      </w:r>
      <w:r>
        <w:t>e no expenditure impact on the general fund, federal funds, or other f</w:t>
      </w:r>
      <w:r w:rsidRPr="00CE0AD9">
        <w:t xml:space="preserve">unds. </w:t>
      </w:r>
    </w:p>
    <w:p w:rsidR="00280AFC" w:rsidRDefault="00280AFC" w:rsidP="00280AFC">
      <w:pPr>
        <w:pStyle w:val="BillDots0"/>
      </w:pPr>
      <w:r w:rsidRPr="00CE0AD9">
        <w:rPr>
          <w:b/>
        </w:rPr>
        <w:t>Department of Health and Environmental Control</w:t>
      </w:r>
      <w:r w:rsidRPr="00CE0AD9">
        <w:t>. The department reports that this bill would hav</w:t>
      </w:r>
      <w:r>
        <w:t>e no expenditure impact on the general fund, federal funds, or other f</w:t>
      </w:r>
      <w:r w:rsidRPr="00CE0AD9">
        <w:t>unds. The provisions of this bill do not impact the public health services provided by the agency.</w:t>
      </w:r>
    </w:p>
    <w:p w:rsidR="00280AFC" w:rsidRDefault="00280AFC" w:rsidP="00280AFC">
      <w:pPr>
        <w:pStyle w:val="BillDots0"/>
      </w:pPr>
    </w:p>
    <w:p w:rsidR="00280AFC" w:rsidRDefault="00280AFC" w:rsidP="00280AFC">
      <w:pPr>
        <w:pStyle w:val="BillDots0"/>
      </w:pPr>
      <w:r>
        <w:t>Frank A. Rainwater, Executive Director</w:t>
      </w:r>
    </w:p>
    <w:p w:rsidR="00280AFC" w:rsidRPr="00280AFC" w:rsidRDefault="00280AFC" w:rsidP="00280AFC">
      <w:pPr>
        <w:pStyle w:val="BillDots0"/>
      </w:pPr>
      <w:r>
        <w:t>Revenue and Fiscal Affairs Office</w:t>
      </w:r>
    </w:p>
    <w:p w:rsidR="00280AFC" w:rsidRDefault="00280AFC" w:rsidP="00280AFC">
      <w:pPr>
        <w:pStyle w:val="BillDots0"/>
      </w:pPr>
    </w:p>
    <w:p w:rsidR="00280AFC" w:rsidRDefault="00280AFC" w:rsidP="00280AFC">
      <w:pPr>
        <w:pStyle w:val="BillDots0"/>
        <w:sectPr w:rsidR="00280AFC"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444772"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health</w:t>
      </w:r>
      <w:r>
        <w:rPr>
          <w:u w:val="single"/>
        </w:rPr>
        <w:t xml:space="preserve"> management</w:t>
      </w:r>
      <w:r w:rsidRPr="00E52F5C">
        <w:rPr>
          <w:u w:val="single"/>
        </w:rPr>
        <w:t xml:space="preserve">; quality improvement or research projects </w:t>
      </w:r>
      <w:r w:rsidRPr="00E52F5C">
        <w:rPr>
          <w:u w:val="single"/>
        </w:rPr>
        <w:lastRenderedPageBreak/>
        <w:t>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w:t>
      </w:r>
      <w:r w:rsidRPr="00E52F5C">
        <w:lastRenderedPageBreak/>
        <w:t>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w:t>
      </w:r>
      <w:r w:rsidRPr="00E52F5C">
        <w:lastRenderedPageBreak/>
        <w:t>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w:t>
      </w:r>
      <w:r w:rsidRPr="00E52F5C">
        <w:rPr>
          <w:u w:val="single"/>
        </w:rPr>
        <w:lastRenderedPageBreak/>
        <w:t>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00C96D88">
        <w:tab/>
      </w:r>
      <w:r w:rsidRPr="00E52F5C">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sidR="00C96D88">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C96D88">
        <w:rPr>
          <w:snapToGrid w:val="0"/>
          <w:u w:val="single"/>
        </w:rPr>
        <w:t xml:space="preserve">written </w:t>
      </w:r>
      <w:r w:rsidR="005D6937" w:rsidRPr="00C96D88">
        <w:rPr>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C96D88">
        <w:rPr>
          <w:u w:val="single"/>
        </w:rPr>
        <w:t>(g)</w:t>
      </w:r>
      <w:r w:rsidR="005D6937" w:rsidRPr="00C96D88">
        <w:tab/>
        <w:t xml:space="preserve">must be signed </w:t>
      </w:r>
      <w:r w:rsidR="005D6937" w:rsidRPr="00C96D88">
        <w:rPr>
          <w:u w:val="single"/>
        </w:rPr>
        <w:t>or electronically submitted</w:t>
      </w:r>
      <w:r w:rsidR="005D6937" w:rsidRPr="00C96D88">
        <w:t xml:space="preserve"> by the NP, CNM, or CNS with the prescriber’s identification number assigned by the board and all prescribing numbers required by law. </w:t>
      </w:r>
      <w:r w:rsidR="005D6937" w:rsidRPr="00C96D88">
        <w:rPr>
          <w:strike/>
        </w:rPr>
        <w:t>The</w:t>
      </w:r>
      <w:r w:rsidR="005D6937" w:rsidRPr="00C96D88">
        <w:t xml:space="preserve"> </w:t>
      </w:r>
      <w:r w:rsidR="005D6937" w:rsidRPr="00C96D88">
        <w:rPr>
          <w:u w:val="single"/>
        </w:rPr>
        <w:t>Written</w:t>
      </w:r>
      <w:r w:rsidR="005D6937" w:rsidRPr="00C96D88">
        <w:t xml:space="preserve"> prescription </w:t>
      </w:r>
      <w:r w:rsidR="005D6937" w:rsidRPr="00C96D88">
        <w:rPr>
          <w:strike/>
        </w:rPr>
        <w:t>form</w:t>
      </w:r>
      <w:r w:rsidR="005D6937" w:rsidRPr="00C96D88">
        <w:t xml:space="preserve"> </w:t>
      </w:r>
      <w:r w:rsidR="005D6937" w:rsidRPr="00C96D88">
        <w:rPr>
          <w:u w:val="single"/>
        </w:rPr>
        <w:t>forms</w:t>
      </w:r>
      <w:r w:rsidR="005D6937" w:rsidRPr="00C96D88">
        <w:t xml:space="preserve"> must include the name, address, and phone number of the NP, CNM, or CNS and physician</w:t>
      </w:r>
      <w:r w:rsidR="005D6937" w:rsidRPr="00C96D88">
        <w:rPr>
          <w:u w:val="single"/>
        </w:rPr>
        <w:t>. Electronic prescription forms must include the name, address, and phone number of the NP, CNM, or CNS and, if possible, the physician through the electronic system</w:t>
      </w:r>
      <w:r w:rsidR="005D6937" w:rsidRPr="00C96D88">
        <w:t xml:space="preserve">. </w:t>
      </w:r>
      <w:r w:rsidR="005D6937" w:rsidRPr="00C96D88">
        <w:rPr>
          <w:strike/>
        </w:rPr>
        <w:t xml:space="preserve">and </w:t>
      </w:r>
      <w:r w:rsidR="005D6937" w:rsidRPr="00C96D88">
        <w:rPr>
          <w:u w:val="single"/>
        </w:rPr>
        <w:t>All prescriptions</w:t>
      </w:r>
      <w:r w:rsidR="005D6937" w:rsidRPr="00C96D88">
        <w:t xml:space="preserve"> must comply with the provisions of Section 39</w:t>
      </w:r>
      <w:r w:rsidR="005D6937" w:rsidRPr="00C96D88">
        <w:noBreakHyphen/>
        <w:t>24</w:t>
      </w:r>
      <w:r w:rsidR="005D6937" w:rsidRPr="00C96D88">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00C96D88">
        <w:tab/>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before administration of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 xml:space="preserve">195. Delegated medical acts to the APRN (NP, CNM, or CNS) must be agreed to jointly by both the Board of Nursing and the Board of Medical Examiners. Delegated medical acts to the APRN (NP, CNM, or CNS) must be performed under the general </w:t>
      </w:r>
      <w:r w:rsidRPr="00E52F5C">
        <w:rPr>
          <w:strike/>
        </w:rPr>
        <w:lastRenderedPageBreak/>
        <w:t>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lastRenderedPageBreak/>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(f)</w:t>
      </w:r>
      <w:r w:rsidRPr="00E52F5C">
        <w:tab/>
        <w:t>rendering a determination of medical necessity or a decision affecting the diagnosis and/or treatment of a patient is the practice of medicine subject to all of the powers provided to the 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w:t>
      </w:r>
      <w:r w:rsidRPr="00E52F5C">
        <w:rPr>
          <w:u w:val="single"/>
        </w:rPr>
        <w:lastRenderedPageBreak/>
        <w:t>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9ED" w:rsidRDefault="00BA69ED" w:rsidP="00BA69ED">
      <w:pPr>
        <w:suppressAutoHyphens/>
      </w:pPr>
    </w:p>
    <w:sectPr w:rsidR="00BA69ED"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8A2977-F797-4B8C-ACDE-BD1B11F37A3E}"/>
    <w:embedBold r:id="rId2" w:fontKey="{EEAF3C82-62E4-4384-B9AC-AA04C03C68D6}"/>
  </w:font>
  <w:font w:name="Calibri">
    <w:panose1 w:val="020F0502020204030204"/>
    <w:charset w:val="00"/>
    <w:family w:val="swiss"/>
    <w:pitch w:val="variable"/>
    <w:sig w:usb0="E00002FF" w:usb1="4000ACFF" w:usb2="00000001" w:usb3="00000000" w:csb0="0000019F" w:csb1="00000000"/>
    <w:embedRegular r:id="rId3" w:fontKey="{FBCCD843-C542-449A-B02D-6AD8212455FE}"/>
    <w:embedBold r:id="rId4" w:fontKey="{D5B19C3B-17B2-4E05-A987-322A7F4609FC}"/>
  </w:font>
  <w:font w:name="Cambria">
    <w:panose1 w:val="02040503050406030204"/>
    <w:charset w:val="00"/>
    <w:family w:val="roman"/>
    <w:pitch w:val="variable"/>
    <w:sig w:usb0="E00002FF" w:usb1="400004FF" w:usb2="00000000" w:usb3="00000000" w:csb0="0000019F" w:csb1="00000000"/>
    <w:embedRegular r:id="rId5" w:fontKey="{3817FBCC-A093-4EAE-9BCC-ADF4F49F6FE0}"/>
  </w:font>
  <w:font w:name="Segoe UI">
    <w:panose1 w:val="020B0502040204020203"/>
    <w:charset w:val="00"/>
    <w:family w:val="swiss"/>
    <w:pitch w:val="variable"/>
    <w:sig w:usb0="E10022FF" w:usb1="C000E47F" w:usb2="00000029" w:usb3="00000000" w:csb0="000001DF" w:csb1="00000000"/>
    <w:embedRegular r:id="rId6" w:fontKey="{A7CD9CD1-41CE-4FD9-A731-A3B8455C1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BA69ED">
      <w:rPr>
        <w:noProof/>
      </w:rPr>
      <w:t>2</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BA6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AFC"/>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A69ED"/>
    <w:rsid w:val="00BB6347"/>
    <w:rsid w:val="00BD2134"/>
    <w:rsid w:val="00C038D8"/>
    <w:rsid w:val="00C045DD"/>
    <w:rsid w:val="00C3136F"/>
    <w:rsid w:val="00C3483A"/>
    <w:rsid w:val="00C74E9D"/>
    <w:rsid w:val="00C82FD3"/>
    <w:rsid w:val="00C96D88"/>
    <w:rsid w:val="00CA0884"/>
    <w:rsid w:val="00CC6B7B"/>
    <w:rsid w:val="00CD3619"/>
    <w:rsid w:val="00CF4447"/>
    <w:rsid w:val="00D239F9"/>
    <w:rsid w:val="00D24C61"/>
    <w:rsid w:val="00D405E7"/>
    <w:rsid w:val="00D40DD2"/>
    <w:rsid w:val="00D41D56"/>
    <w:rsid w:val="00D6260D"/>
    <w:rsid w:val="00D6662B"/>
    <w:rsid w:val="00D76A4E"/>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280A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 w:type="character" w:customStyle="1" w:styleId="Heading2Char">
    <w:name w:val="Heading 2 Char"/>
    <w:basedOn w:val="DefaultParagraphFont"/>
    <w:link w:val="Heading2"/>
    <w:uiPriority w:val="9"/>
    <w:semiHidden/>
    <w:rsid w:val="00280AF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0A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4E10B-E689-4512-8221-D3818EFB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31</Pages>
  <Words>10583</Words>
  <Characters>59597</Characters>
  <Application>Microsoft Office Word</Application>
  <DocSecurity>0</DocSecurity>
  <Lines>1282</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(Apr. 25, 2018) - South Carolina Legislature Online</dc:title>
  <dc:subject/>
  <dc:creator>angiemorgan</dc:creator>
  <cp:keywords/>
  <dc:description/>
  <cp:lastModifiedBy>Miriam Cook</cp:lastModifiedBy>
  <cp:revision>2</cp:revision>
  <cp:lastPrinted>2017-02-01T14:31:00Z</cp:lastPrinted>
  <dcterms:created xsi:type="dcterms:W3CDTF">2018-04-26T00:55:00Z</dcterms:created>
  <dcterms:modified xsi:type="dcterms:W3CDTF">2018-04-26T00:55:00Z</dcterms:modified>
</cp:coreProperties>
</file>