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AB39D9"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F361A3" w:rsidRDefault="00AB39D9"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F361A3">
        <w:t>, 2018</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right" w:pos="5933"/>
        </w:tabs>
        <w:suppressAutoHyphens/>
      </w:pPr>
      <w:r>
        <w:tab/>
      </w:r>
      <w:r>
        <w:rPr>
          <w:b/>
          <w:sz w:val="36"/>
        </w:rPr>
        <w:t>H. 3622</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Burns, Duckworth, Gagnon, Henegan, Herbkersman, Hill, Hixon, Johnson, V.S. Moss, Ridgeway, Spires, Taylor, Thayer, Yow, Robinson</w:t>
      </w:r>
      <w:r>
        <w:noBreakHyphen/>
        <w:t>Simpson, Magnuson, Long and Thigpen</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AB39D9" w:rsidP="00021DCE">
      <w:pPr>
        <w:tabs>
          <w:tab w:val="right" w:pos="5933"/>
        </w:tabs>
        <w:suppressAutoHyphens/>
      </w:pPr>
      <w:r>
        <w:t>S. Printed 5/8</w:t>
      </w:r>
      <w:r w:rsidR="00F361A3">
        <w:t>/18--S.</w:t>
      </w:r>
      <w:r w:rsidR="00021DCE">
        <w:tab/>
        <w:t>[SEC 5/9/18 11:52 AM]</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1A3"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1"/>
    </w:p>
    <w:p w:rsidR="0070536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39D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1.</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67.</w:t>
      </w:r>
      <w:r w:rsidRPr="0047038A">
        <w:rPr>
          <w:snapToGrid w:val="0"/>
        </w:rPr>
        <w:tab/>
        <w:t>(A)</w:t>
      </w:r>
      <w:r w:rsidRPr="0047038A">
        <w:rPr>
          <w:snapToGrid w:val="0"/>
        </w:rPr>
        <w:tab/>
        <w:t>There is established the Joint Podiatric Surgery Advisory Committee as a committee of t</w:t>
      </w:r>
      <w:r>
        <w:rPr>
          <w:snapToGrid w:val="0"/>
        </w:rPr>
        <w:t xml:space="preserve">he Board of </w:t>
      </w:r>
      <w:r>
        <w:rPr>
          <w:snapToGrid w:val="0"/>
        </w:rPr>
        <w:lastRenderedPageBreak/>
        <w:t>Podiatry Examiners. The purpose of the a</w:t>
      </w:r>
      <w:r w:rsidRPr="0047038A">
        <w:rPr>
          <w:snapToGrid w:val="0"/>
        </w:rPr>
        <w:t>dvisory</w:t>
      </w:r>
      <w:r>
        <w:rPr>
          <w:snapToGrid w:val="0"/>
        </w:rPr>
        <w:t xml:space="preserve"> c</w:t>
      </w:r>
      <w:r w:rsidRPr="0047038A">
        <w:rPr>
          <w:snapToGrid w:val="0"/>
        </w:rPr>
        <w:t xml:space="preserve">ommittee is to assist the </w:t>
      </w:r>
      <w:r>
        <w:rPr>
          <w:snapToGrid w:val="0"/>
        </w:rPr>
        <w:t>b</w:t>
      </w:r>
      <w:r w:rsidRPr="0047038A">
        <w:rPr>
          <w:snapToGrid w:val="0"/>
        </w:rPr>
        <w:t xml:space="preserve">oard in matters pertaining to podiatrists who perform surgical procedures of the ankle and related soft tissue structures.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(B)</w:t>
      </w:r>
      <w:r>
        <w:rPr>
          <w:snapToGrid w:val="0"/>
        </w:rPr>
        <w:tab/>
      </w:r>
      <w:r w:rsidRPr="0047038A">
        <w:rPr>
          <w:snapToGrid w:val="0"/>
        </w:rPr>
        <w:t>The advisory committee is to be composed of five members as follows: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 xml:space="preserve">two orthopedic surgeons appointed by the Board of Medical Examiners, at least one of whom must be a foot and ankle specialist;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(2)</w:t>
      </w:r>
      <w:r>
        <w:rPr>
          <w:snapToGrid w:val="0"/>
        </w:rPr>
        <w:tab/>
      </w:r>
      <w:r w:rsidRPr="0047038A">
        <w:rPr>
          <w:snapToGrid w:val="0"/>
        </w:rPr>
        <w:t>two podiatrists appointed by the Board of Podiatry Examiners, both of whom must be RRA certified</w:t>
      </w:r>
      <w:r>
        <w:rPr>
          <w:snapToGrid w:val="0"/>
        </w:rPr>
        <w:t xml:space="preserve"> or qualified</w:t>
      </w:r>
      <w:r w:rsidR="00021DCE">
        <w:rPr>
          <w:snapToGrid w:val="0"/>
        </w:rPr>
        <w:t>;</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w:t>
      </w:r>
      <w:r w:rsidRPr="0047038A">
        <w:rPr>
          <w:snapToGrid w:val="0"/>
        </w:rPr>
        <w:t>3)</w:t>
      </w:r>
      <w:r>
        <w:rPr>
          <w:snapToGrid w:val="0"/>
        </w:rPr>
        <w:tab/>
      </w:r>
      <w:r w:rsidRPr="0047038A">
        <w:rPr>
          <w:snapToGrid w:val="0"/>
        </w:rPr>
        <w:t>one lay person appointed by the Governor.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(C)</w:t>
      </w:r>
      <w:r>
        <w:rPr>
          <w:snapToGrid w:val="0"/>
        </w:rPr>
        <w:tab/>
      </w:r>
      <w:r w:rsidRPr="0047038A">
        <w:rPr>
          <w:snapToGrid w:val="0"/>
        </w:rPr>
        <w:t>The orthopedic surgeons and podiatrists serving on the advisory committee must be licensed in good standing in this State and must be actively practicing within the geogr</w:t>
      </w:r>
      <w:r>
        <w:rPr>
          <w:snapToGrid w:val="0"/>
        </w:rPr>
        <w:t>aphic boundaries of this State.</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(D)</w:t>
      </w:r>
      <w:r>
        <w:rPr>
          <w:snapToGrid w:val="0"/>
        </w:rPr>
        <w:tab/>
      </w:r>
      <w:r w:rsidRPr="0047038A">
        <w:rPr>
          <w:snapToGrid w:val="0"/>
        </w:rPr>
        <w:t>Members of the advisory committee are appointed for terms of four years and until their successors are appointed and qualify.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(E)</w:t>
      </w:r>
      <w:r>
        <w:rPr>
          <w:snapToGrid w:val="0"/>
        </w:rPr>
        <w:tab/>
      </w:r>
      <w:r w:rsidRPr="0047038A">
        <w:rPr>
          <w:snapToGrid w:val="0"/>
        </w:rPr>
        <w:t>Vacancies must be filled in the manner of the original appointment for the</w:t>
      </w:r>
      <w:r>
        <w:rPr>
          <w:snapToGrid w:val="0"/>
        </w:rPr>
        <w:t xml:space="preserve"> unexpired portion of the term.</w:t>
      </w:r>
      <w:r w:rsidRPr="0047038A">
        <w:rPr>
          <w:snapToGrid w:val="0"/>
        </w:rPr>
        <w:t xml:space="preserve"> The Board of Podiatry Examiners, after notice and opportunity for hearing, may remove any member of the advisory committee</w:t>
      </w:r>
      <w:r>
        <w:rPr>
          <w:snapToGrid w:val="0"/>
        </w:rPr>
        <w:t>, except for the lay person appointed by the Governor,</w:t>
      </w:r>
      <w:r w:rsidRPr="0047038A">
        <w:rPr>
          <w:snapToGrid w:val="0"/>
        </w:rPr>
        <w:t xml:space="preserve"> for negligence, neglect of duty, incompetence, revocation or suspension of license, or other dishonorable conduct. No member may serve more than two full four</w:t>
      </w:r>
      <w:r>
        <w:rPr>
          <w:snapToGrid w:val="0"/>
        </w:rPr>
        <w:noBreakHyphen/>
      </w:r>
      <w:r w:rsidRPr="0047038A">
        <w:rPr>
          <w:snapToGrid w:val="0"/>
        </w:rPr>
        <w:t>year terms consecutively but may be eligible for reappointment four years from the date the la</w:t>
      </w:r>
      <w:r>
        <w:rPr>
          <w:snapToGrid w:val="0"/>
        </w:rPr>
        <w:t>st full four</w:t>
      </w:r>
      <w:r>
        <w:rPr>
          <w:snapToGrid w:val="0"/>
        </w:rPr>
        <w:noBreakHyphen/>
        <w:t>year term expired.</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(F)</w:t>
      </w:r>
      <w:r>
        <w:rPr>
          <w:snapToGrid w:val="0"/>
        </w:rPr>
        <w:tab/>
      </w:r>
      <w:r w:rsidRPr="0047038A">
        <w:rPr>
          <w:snapToGrid w:val="0"/>
        </w:rPr>
        <w:t>The advisory committee must meet at least two times yearly and at ot</w:t>
      </w:r>
      <w:r>
        <w:rPr>
          <w:snapToGrid w:val="0"/>
        </w:rPr>
        <w:t>her times as may be necessary. </w:t>
      </w:r>
      <w:r w:rsidRPr="0047038A">
        <w:rPr>
          <w:snapToGrid w:val="0"/>
        </w:rPr>
        <w:t xml:space="preserve">The advisory committee must provide notice of its meeting pursuant to the </w:t>
      </w:r>
      <w:r>
        <w:rPr>
          <w:snapToGrid w:val="0"/>
        </w:rPr>
        <w:t>Administration Procedures Act.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(G)</w:t>
      </w:r>
      <w:r>
        <w:rPr>
          <w:snapToGrid w:val="0"/>
        </w:rPr>
        <w:tab/>
      </w:r>
      <w:r w:rsidRPr="0047038A">
        <w:rPr>
          <w:snapToGrid w:val="0"/>
        </w:rPr>
        <w:t xml:space="preserve">The advisory committee must adopt rules for its proceedings and elect officers. The advisory committee must keep records and minutes of its meetings as necessary to carry out its functions and must report on its activities at least annually to the Board of Podiatry Examiners and the Board of Medical Examiners and upon request of either </w:t>
      </w:r>
      <w:r>
        <w:rPr>
          <w:snapToGrid w:val="0"/>
        </w:rPr>
        <w:t>b</w:t>
      </w:r>
      <w:r w:rsidRPr="0047038A">
        <w:rPr>
          <w:snapToGrid w:val="0"/>
        </w:rPr>
        <w:t>oard.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(H)</w:t>
      </w:r>
      <w:r>
        <w:rPr>
          <w:snapToGrid w:val="0"/>
        </w:rPr>
        <w:tab/>
      </w:r>
      <w:r w:rsidRPr="0047038A">
        <w:rPr>
          <w:snapToGrid w:val="0"/>
        </w:rPr>
        <w:t>The advisory committee shall have the following duties and responsibilities pertaining to podiatrists who perform surgical procedures of the ankle and related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recommend policies or regulations to the Board of Podiatry Examiners regarding professional certification and standards of practice;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sidRPr="0047038A">
        <w:rPr>
          <w:snapToGrid w:val="0"/>
        </w:rPr>
        <w:t>(2)</w:t>
      </w:r>
      <w:r>
        <w:rPr>
          <w:snapToGrid w:val="0"/>
        </w:rPr>
        <w:tab/>
      </w:r>
      <w:r w:rsidRPr="0047038A">
        <w:rPr>
          <w:snapToGrid w:val="0"/>
        </w:rPr>
        <w:t xml:space="preserve">recommend continuing education requirements to the Board of Podiatry Examiners;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(3)</w:t>
      </w:r>
      <w:r>
        <w:rPr>
          <w:snapToGrid w:val="0"/>
        </w:rPr>
        <w:tab/>
      </w:r>
      <w:r w:rsidRPr="0047038A">
        <w:rPr>
          <w:snapToGrid w:val="0"/>
        </w:rPr>
        <w:t xml:space="preserve">provide expert information and advice to the Board of Podiatry Examiners on issues related to patient safety and standard of care;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(4)</w:t>
      </w:r>
      <w:r>
        <w:rPr>
          <w:snapToGrid w:val="0"/>
        </w:rPr>
        <w:tab/>
      </w:r>
      <w:r w:rsidRPr="0047038A">
        <w:rPr>
          <w:snapToGrid w:val="0"/>
        </w:rPr>
        <w:t xml:space="preserve">assist the Department and the Board of Podiatry Examiners in processing complaints </w:t>
      </w:r>
      <w:r>
        <w:rPr>
          <w:snapToGrid w:val="0"/>
        </w:rPr>
        <w:t xml:space="preserve">and issues </w:t>
      </w:r>
      <w:r w:rsidRPr="0047038A">
        <w:rPr>
          <w:snapToGrid w:val="0"/>
        </w:rPr>
        <w:t xml:space="preserve">by providing expert analysis and review of such complaints </w:t>
      </w:r>
      <w:r>
        <w:rPr>
          <w:snapToGrid w:val="0"/>
        </w:rPr>
        <w:t xml:space="preserve">and issues </w:t>
      </w:r>
      <w:r w:rsidRPr="0047038A">
        <w:rPr>
          <w:snapToGrid w:val="0"/>
        </w:rPr>
        <w:t xml:space="preserve">after </w:t>
      </w:r>
      <w:r>
        <w:rPr>
          <w:snapToGrid w:val="0"/>
        </w:rPr>
        <w:t>the d</w:t>
      </w:r>
      <w:r w:rsidRPr="0047038A">
        <w:rPr>
          <w:snapToGrid w:val="0"/>
        </w:rPr>
        <w:t xml:space="preserve">epartment investigation is completed. The advisory committee must provide a comprehensive analysis of whether the standard of care was met and must make recommendations to the Board of Podiatry Examiners regarding appropriate sanctions if the advisory committee concludes that a violation of this </w:t>
      </w:r>
      <w:r>
        <w:rPr>
          <w:snapToGrid w:val="0"/>
        </w:rPr>
        <w:t>a</w:t>
      </w:r>
      <w:r w:rsidRPr="0047038A">
        <w:rPr>
          <w:snapToGrid w:val="0"/>
        </w:rPr>
        <w:t xml:space="preserve">ct has occurred; and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Pr>
          <w:snapToGrid w:val="0"/>
        </w:rPr>
        <w:tab/>
      </w:r>
      <w:r w:rsidRPr="0047038A">
        <w:rPr>
          <w:snapToGrid w:val="0"/>
        </w:rPr>
        <w:t>(5)</w:t>
      </w:r>
      <w:r>
        <w:rPr>
          <w:snapToGrid w:val="0"/>
        </w:rPr>
        <w:tab/>
      </w:r>
      <w:r w:rsidRPr="0047038A">
        <w:rPr>
          <w:snapToGrid w:val="0"/>
        </w:rPr>
        <w:t>perform any other duties or responsibilities assigned by the Board of Podiatry</w:t>
      </w:r>
      <w:r>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2.</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210.</w:t>
      </w:r>
      <w:r w:rsidRPr="0047038A">
        <w:rPr>
          <w:snapToGrid w:val="0"/>
        </w:rPr>
        <w:tab/>
        <w:t>(A)</w:t>
      </w:r>
      <w:r w:rsidRPr="0047038A">
        <w:rPr>
          <w:snapToGrid w:val="0"/>
        </w:rPr>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Pr>
          <w:snapToGrid w:val="0"/>
        </w:rPr>
        <w:noBreakHyphen/>
      </w:r>
      <w:r w:rsidRPr="0047038A">
        <w:rPr>
          <w:snapToGrid w:val="0"/>
        </w:rPr>
        <w:t>certified or board</w:t>
      </w:r>
      <w:r>
        <w:rPr>
          <w:snapToGrid w:val="0"/>
        </w:rPr>
        <w:noBreakHyphen/>
      </w:r>
      <w:r w:rsidRPr="0047038A">
        <w:rPr>
          <w:snapToGrid w:val="0"/>
        </w:rPr>
        <w:t>qualified by the American Board of Foot and Ankle Surgery, must have graduated from a three</w:t>
      </w:r>
      <w:r>
        <w:rPr>
          <w:snapToGrid w:val="0"/>
        </w:rPr>
        <w:noBreakHyphen/>
      </w:r>
      <w:r w:rsidRPr="0047038A">
        <w:rPr>
          <w:snapToGrid w:val="0"/>
        </w:rPr>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(B)</w:t>
      </w:r>
      <w:r w:rsidRPr="0047038A">
        <w:rPr>
          <w:snapToGrid w:val="0"/>
        </w:rPr>
        <w:tab/>
        <w:t xml:space="preserve">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w:t>
      </w:r>
      <w:r w:rsidRPr="0047038A">
        <w:rPr>
          <w:snapToGrid w:val="0"/>
        </w:rPr>
        <w:lastRenderedPageBreak/>
        <w:t>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(C)</w:t>
      </w:r>
      <w:r w:rsidRPr="0047038A">
        <w:rPr>
          <w:snapToGrid w:val="0"/>
        </w:rPr>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3.</w:t>
      </w: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 of the 1976 Code is amended to read: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w:t>
      </w:r>
      <w:r w:rsidRPr="0047038A">
        <w:rPr>
          <w:snapToGrid w:val="0"/>
        </w:rPr>
        <w:tab/>
      </w:r>
      <w:r w:rsidRPr="0047038A">
        <w:t>For the purposes of this chapter: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(1)</w:t>
      </w:r>
      <w:r w:rsidRPr="0047038A">
        <w:tab/>
      </w:r>
      <w:r w:rsidRPr="00EE05DB">
        <w:rPr>
          <w:strike/>
        </w:rPr>
        <w:t>‘</w:t>
      </w:r>
      <w:r w:rsidRPr="0047038A">
        <w:rPr>
          <w:strike/>
        </w:rPr>
        <w:t>Podiatry</w:t>
      </w:r>
      <w:r w:rsidRPr="00EE05DB">
        <w:rPr>
          <w:strike/>
        </w:rPr>
        <w:t>’</w:t>
      </w:r>
      <w:r w:rsidRPr="0047038A">
        <w:rPr>
          <w:strike/>
        </w:rPr>
        <w:t xml:space="preserve"> shall mean the diagnosis, medical and surgical treatment limited to ailments of the human foot, except the administration of an anaesthetic other than local</w:t>
      </w:r>
      <w:r w:rsidRPr="0047038A">
        <w:t xml:space="preserve"> </w:t>
      </w:r>
      <w:r w:rsidRPr="00EE05DB">
        <w:rPr>
          <w:snapToGrid w:val="0"/>
          <w:u w:val="single"/>
        </w:rPr>
        <w:t>‘</w:t>
      </w:r>
      <w:r w:rsidRPr="0047038A">
        <w:rPr>
          <w:snapToGrid w:val="0"/>
          <w:u w:val="single"/>
        </w:rPr>
        <w:t>Ankle</w:t>
      </w:r>
      <w:r w:rsidRPr="00EE05DB">
        <w:rPr>
          <w:snapToGrid w:val="0"/>
          <w:u w:val="single"/>
        </w:rPr>
        <w:t>’</w:t>
      </w:r>
      <w:r w:rsidRPr="0047038A">
        <w:rPr>
          <w:snapToGrid w:val="0"/>
          <w:u w:val="single"/>
        </w:rPr>
        <w:t xml:space="preserv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rsidRPr="0047038A">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(2)</w:t>
      </w:r>
      <w:r w:rsidRPr="0047038A">
        <w:tab/>
      </w:r>
      <w:r w:rsidRPr="00EE05DB">
        <w:t>‘</w:t>
      </w:r>
      <w:r w:rsidRPr="0047038A">
        <w:t>Diagnosis</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to ascertain a disease or ailment by symptoms and findings and does not confer the right to use X</w:t>
      </w:r>
      <w:r>
        <w:noBreakHyphen/>
      </w:r>
      <w:r w:rsidRPr="0047038A">
        <w:t>ray other than for diagnosis.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(3)</w:t>
      </w:r>
      <w:r w:rsidRPr="0047038A">
        <w:tab/>
      </w:r>
      <w:r w:rsidRPr="00EE05DB">
        <w:t>‘</w:t>
      </w:r>
      <w:r w:rsidRPr="0047038A">
        <w:t>Medical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application or prescribing of any therapeutic agent or remedy for the relief of foot </w:t>
      </w:r>
      <w:r w:rsidRPr="0047038A">
        <w:rPr>
          <w:u w:val="single"/>
        </w:rPr>
        <w:t>or ankle</w:t>
      </w:r>
      <w:r w:rsidRPr="0047038A">
        <w:t xml:space="preserve"> ailments, except the medical treatment of any systemic disease causing manifestations in the foot </w:t>
      </w:r>
      <w:r w:rsidRPr="0047038A">
        <w:rPr>
          <w:u w:val="single"/>
        </w:rPr>
        <w:t>or ankle</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tab/>
      </w:r>
      <w:r w:rsidRPr="0047038A">
        <w:tab/>
        <w:t>(4)</w:t>
      </w:r>
      <w:r w:rsidRPr="0047038A">
        <w:tab/>
      </w:r>
      <w:r w:rsidRPr="00EE05DB">
        <w:rPr>
          <w:snapToGrid w:val="0"/>
          <w:u w:val="single"/>
        </w:rPr>
        <w:t>‘</w:t>
      </w:r>
      <w:r w:rsidRPr="0047038A">
        <w:rPr>
          <w:snapToGrid w:val="0"/>
          <w:u w:val="single"/>
        </w:rPr>
        <w:t>Podiatric ankle surgery</w:t>
      </w:r>
      <w:r w:rsidRPr="00EE05DB">
        <w:rPr>
          <w:snapToGrid w:val="0"/>
          <w:u w:val="single"/>
        </w:rPr>
        <w:t>’</w:t>
      </w:r>
      <w:r w:rsidRPr="0047038A">
        <w:rPr>
          <w:snapToGrid w:val="0"/>
          <w:u w:val="single"/>
        </w:rPr>
        <w:t xml:space="preserve"> or </w:t>
      </w:r>
      <w:r w:rsidRPr="00EE05DB">
        <w:rPr>
          <w:snapToGrid w:val="0"/>
          <w:u w:val="single"/>
        </w:rPr>
        <w:t>‘</w:t>
      </w:r>
      <w:r w:rsidRPr="0047038A">
        <w:rPr>
          <w:snapToGrid w:val="0"/>
          <w:u w:val="single"/>
        </w:rPr>
        <w:t>surgical treatment of the ankle</w:t>
      </w:r>
      <w:r w:rsidRPr="00EE05DB">
        <w:rPr>
          <w:snapToGrid w:val="0"/>
          <w:u w:val="single"/>
        </w:rPr>
        <w:t>’</w:t>
      </w:r>
      <w:r w:rsidRPr="0047038A">
        <w:rPr>
          <w:snapToGrid w:val="0"/>
          <w:u w:val="single"/>
        </w:rPr>
        <w:t xml:space="preserve"> means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excluding: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amputation of the leg or foot above the level of the transmetatarsal;</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surgical fixation of tibial shaft fractures;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midshaft tibial osteotomy;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(d)</w:t>
      </w:r>
      <w:r w:rsidRPr="0047038A">
        <w:rPr>
          <w:snapToGrid w:val="0"/>
        </w:rPr>
        <w:tab/>
      </w:r>
      <w:r w:rsidRPr="0047038A">
        <w:rPr>
          <w:snapToGrid w:val="0"/>
          <w:u w:val="single"/>
        </w:rPr>
        <w:t>total ankle replacement; and</w:t>
      </w:r>
    </w:p>
    <w:p w:rsidR="00AB39D9"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5DB">
        <w:rPr>
          <w:snapToGrid w:val="0"/>
        </w:rPr>
        <w:lastRenderedPageBreak/>
        <w:tab/>
      </w:r>
      <w:r w:rsidRPr="00EE05DB">
        <w:rPr>
          <w:snapToGrid w:val="0"/>
        </w:rPr>
        <w:tab/>
      </w:r>
      <w:r w:rsidRPr="00EE05DB">
        <w:rPr>
          <w:snapToGrid w:val="0"/>
        </w:rPr>
        <w:tab/>
      </w:r>
      <w:r>
        <w:rPr>
          <w:snapToGrid w:val="0"/>
          <w:u w:val="single"/>
        </w:rPr>
        <w:t>(e)</w:t>
      </w:r>
      <w:r w:rsidRPr="00EE05DB">
        <w:rPr>
          <w:snapToGrid w:val="0"/>
        </w:rPr>
        <w:tab/>
      </w:r>
      <w:r>
        <w:rPr>
          <w:snapToGrid w:val="0"/>
          <w:u w:val="single"/>
        </w:rPr>
        <w:t>p</w:t>
      </w:r>
      <w:r w:rsidRPr="00EE05DB">
        <w:rPr>
          <w:snapToGrid w:val="0"/>
          <w:u w:val="single"/>
        </w:rPr>
        <w:t>lacement of external fixator pins proximal or ab</w:t>
      </w:r>
      <w:r>
        <w:rPr>
          <w:snapToGrid w:val="0"/>
          <w:u w:val="single"/>
        </w:rPr>
        <w:t>ove the myotendinous junction. A</w:t>
      </w:r>
      <w:r w:rsidRPr="00EE05DB">
        <w:rPr>
          <w:snapToGrid w:val="0"/>
          <w:u w:val="single"/>
        </w:rPr>
        <w:t>ny external fixator pins inserted above the ankl</w:t>
      </w:r>
      <w:bookmarkStart w:id="5" w:name="temp"/>
      <w:bookmarkEnd w:id="5"/>
      <w:r w:rsidRPr="00EE05DB">
        <w:rPr>
          <w:snapToGrid w:val="0"/>
          <w:u w:val="single"/>
        </w:rPr>
        <w:t>e but below the myotendinous junction may only be performed under protocols established between a podiatrist and an orthopaedic surgeon who agrees to provide indirect supervision and responsibility for complications that may arise.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u w:val="single"/>
        </w:rPr>
        <w:t>(5)</w:t>
      </w:r>
      <w:r w:rsidRPr="0047038A">
        <w:rPr>
          <w:snapToGrid w:val="0"/>
        </w:rPr>
        <w:tab/>
      </w:r>
      <w:r w:rsidRPr="00EE05DB">
        <w:rPr>
          <w:snapToGrid w:val="0"/>
          <w:u w:val="single"/>
        </w:rPr>
        <w:t>‘</w:t>
      </w:r>
      <w:r w:rsidRPr="0047038A">
        <w:rPr>
          <w:snapToGrid w:val="0"/>
          <w:u w:val="single"/>
        </w:rPr>
        <w:t>Podiatrist</w:t>
      </w:r>
      <w:r w:rsidRPr="00EE05DB">
        <w:rPr>
          <w:snapToGrid w:val="0"/>
          <w:u w:val="single"/>
        </w:rPr>
        <w:t>’</w:t>
      </w:r>
      <w:r w:rsidRPr="0047038A">
        <w:rPr>
          <w:snapToGrid w:val="0"/>
          <w:u w:val="single"/>
        </w:rPr>
        <w:t xml:space="preserve"> means: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For podiatrists who are RRA qualified or certified, the diagnosis, surgical, medical, and mechanical treatment of all conditions of the human foot and ankle.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For podiatrists who are not RRA qualified or certified, the diagnosis, surgical, medical, and mechanical treatment of all conditions of the human foot and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 xml:space="preserve">The practice of podiatry (both RRA certified </w:t>
      </w:r>
      <w:r>
        <w:rPr>
          <w:snapToGrid w:val="0"/>
          <w:u w:val="single"/>
        </w:rPr>
        <w:t xml:space="preserve">or qualified </w:t>
      </w:r>
      <w:r w:rsidRPr="0047038A">
        <w:rPr>
          <w:snapToGrid w:val="0"/>
          <w:u w:val="single"/>
        </w:rPr>
        <w:t>and non</w:t>
      </w:r>
      <w:r>
        <w:rPr>
          <w:snapToGrid w:val="0"/>
          <w:u w:val="single"/>
        </w:rPr>
        <w:noBreakHyphen/>
      </w:r>
      <w:r w:rsidRPr="0047038A">
        <w:rPr>
          <w:snapToGrid w:val="0"/>
          <w:u w:val="single"/>
        </w:rPr>
        <w:t>RRA certified</w:t>
      </w:r>
      <w:r>
        <w:rPr>
          <w:snapToGrid w:val="0"/>
          <w:u w:val="single"/>
        </w:rPr>
        <w:t xml:space="preserve"> or qualified</w:t>
      </w:r>
      <w:r w:rsidRPr="0047038A">
        <w:rPr>
          <w:snapToGrid w:val="0"/>
          <w:u w:val="single"/>
        </w:rPr>
        <w:t>)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r>
      <w:r w:rsidRPr="0047038A">
        <w:rPr>
          <w:snapToGrid w:val="0"/>
        </w:rPr>
        <w:tab/>
      </w:r>
      <w:r w:rsidRPr="0047038A">
        <w:rPr>
          <w:snapToGrid w:val="0"/>
          <w:u w:val="single"/>
        </w:rPr>
        <w:t>(6)</w:t>
      </w:r>
      <w:r w:rsidRPr="0047038A">
        <w:rPr>
          <w:snapToGrid w:val="0"/>
        </w:rPr>
        <w:tab/>
      </w:r>
      <w:r w:rsidRPr="00EE05DB">
        <w:rPr>
          <w:snapToGrid w:val="0"/>
          <w:u w:val="single"/>
        </w:rPr>
        <w:t>‘</w:t>
      </w:r>
      <w:r w:rsidRPr="0047038A">
        <w:rPr>
          <w:snapToGrid w:val="0"/>
          <w:u w:val="single"/>
        </w:rPr>
        <w:t>Podiatry</w:t>
      </w:r>
      <w:r w:rsidRPr="00EE05DB">
        <w:rPr>
          <w:snapToGrid w:val="0"/>
          <w:u w:val="single"/>
        </w:rPr>
        <w:t>’</w:t>
      </w:r>
      <w:r>
        <w:rPr>
          <w:snapToGrid w:val="0"/>
          <w:u w:val="single"/>
        </w:rPr>
        <w:t xml:space="preserve">  means, depending on qualifications or certifications as provided in item (5), t</w:t>
      </w:r>
      <w:r w:rsidRPr="0047038A">
        <w:rPr>
          <w:snapToGrid w:val="0"/>
          <w:u w:val="single"/>
        </w:rPr>
        <w:t>he diagnosis, surgical, medical, and mechanical treatment of all conditions of the human foot and ankle. The practice of podiatry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r>
      <w:r w:rsidRPr="0047038A">
        <w:rPr>
          <w:u w:val="single"/>
        </w:rPr>
        <w:t>(7)</w:t>
      </w:r>
      <w:r w:rsidRPr="0047038A">
        <w:tab/>
      </w:r>
      <w:r w:rsidRPr="00EE05DB">
        <w:t>‘</w:t>
      </w:r>
      <w:r w:rsidRPr="0047038A">
        <w:t>Surgical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use of </w:t>
      </w:r>
      <w:r w:rsidRPr="0047038A">
        <w:rPr>
          <w:strike/>
        </w:rPr>
        <w:t>any</w:t>
      </w:r>
      <w:r w:rsidRPr="0047038A">
        <w:t xml:space="preserve"> </w:t>
      </w:r>
      <w:r w:rsidRPr="0047038A">
        <w:rPr>
          <w:u w:val="single"/>
        </w:rPr>
        <w:t>a</w:t>
      </w:r>
      <w:r w:rsidRPr="0047038A">
        <w:t xml:space="preserve"> cutting </w:t>
      </w:r>
      <w:r w:rsidRPr="0047038A">
        <w:rPr>
          <w:u w:val="single"/>
        </w:rPr>
        <w:t>or invasive</w:t>
      </w:r>
      <w:r w:rsidRPr="0047038A">
        <w:t xml:space="preserve"> instrument to treat a disease, ailment, deformity</w:t>
      </w:r>
      <w:r w:rsidR="00021DCE">
        <w:rPr>
          <w:u w:val="single"/>
        </w:rPr>
        <w:t>,</w:t>
      </w:r>
      <w:r w:rsidRPr="0047038A">
        <w:t xml:space="preserve"> or condition of the foot </w:t>
      </w:r>
      <w:r w:rsidRPr="0047038A">
        <w:rPr>
          <w:u w:val="single"/>
        </w:rPr>
        <w:t>or ankle</w:t>
      </w:r>
      <w:r w:rsidRPr="0047038A">
        <w:t xml:space="preserve">, but </w:t>
      </w:r>
      <w:r w:rsidRPr="0047038A">
        <w:rPr>
          <w:strike/>
        </w:rPr>
        <w:t>shall</w:t>
      </w:r>
      <w:r w:rsidRPr="0047038A">
        <w:t xml:space="preserve"> </w:t>
      </w:r>
      <w:r w:rsidRPr="0047038A">
        <w:rPr>
          <w:u w:val="single"/>
        </w:rPr>
        <w:t>does</w:t>
      </w:r>
      <w:r w:rsidRPr="0047038A">
        <w:t xml:space="preserve"> not confer the right to amputate the </w:t>
      </w:r>
      <w:r w:rsidRPr="0047038A">
        <w:rPr>
          <w:u w:val="single"/>
        </w:rPr>
        <w:t>entire</w:t>
      </w:r>
      <w:r w:rsidRPr="0047038A">
        <w:t xml:space="preserve"> foot </w:t>
      </w:r>
      <w:r w:rsidRPr="0047038A">
        <w:rPr>
          <w:strike/>
        </w:rPr>
        <w:t>or toes</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2665"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38A">
        <w:rPr>
          <w:snapToGrid w:val="0"/>
        </w:rPr>
        <w:t>SECTION</w:t>
      </w:r>
      <w:r w:rsidRPr="0047038A">
        <w:rPr>
          <w:snapToGrid w:val="0"/>
        </w:rPr>
        <w:tab/>
        <w:t>4.</w:t>
      </w:r>
      <w:r w:rsidRPr="0047038A">
        <w:rPr>
          <w:snapToGrid w:val="0"/>
        </w:rP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FC4" w:rsidRDefault="004B5FC4" w:rsidP="004B5FC4">
      <w:pPr>
        <w:suppressAutoHyphens/>
      </w:pPr>
    </w:p>
    <w:sectPr w:rsidR="004B5FC4"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8E9F92-8B7D-4775-B09B-7C48FB0E2D00}"/>
    <w:embedBold r:id="rId2" w:fontKey="{6473EBAF-1159-47DE-86CC-D508F71B90DE}"/>
  </w:font>
  <w:font w:name="Calibri">
    <w:panose1 w:val="020F0502020204030204"/>
    <w:charset w:val="00"/>
    <w:family w:val="swiss"/>
    <w:pitch w:val="variable"/>
    <w:sig w:usb0="E00002FF" w:usb1="4000ACFF" w:usb2="00000001" w:usb3="00000000" w:csb0="0000019F" w:csb1="00000000"/>
    <w:embedRegular r:id="rId3" w:fontKey="{E3089F5A-5D3A-4594-BEB0-973A9EFA417B}"/>
  </w:font>
  <w:font w:name="Segoe UI">
    <w:panose1 w:val="020B0502040204020203"/>
    <w:charset w:val="00"/>
    <w:family w:val="swiss"/>
    <w:pitch w:val="variable"/>
    <w:sig w:usb0="E10022FF" w:usb1="C000E47F" w:usb2="00000029" w:usb3="00000000" w:csb0="000001DF" w:csb1="00000000"/>
    <w:embedRegular r:id="rId4" w:fontKey="{0AA2E71C-AF14-4E7C-82F4-7EF46A7784B0}"/>
  </w:font>
  <w:font w:name="Cambria">
    <w:panose1 w:val="02040503050406030204"/>
    <w:charset w:val="00"/>
    <w:family w:val="roman"/>
    <w:pitch w:val="variable"/>
    <w:sig w:usb0="E00002FF" w:usb1="400004FF" w:usb2="00000000" w:usb3="00000000" w:csb0="0000019F" w:csb1="00000000"/>
    <w:embedRegular r:id="rId5" w:fontKey="{DC595E72-3581-4278-A34C-BBC9D2931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021DCE">
      <w:rPr>
        <w:noProof/>
      </w:rPr>
      <w:t>1</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4B5F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1DCE"/>
    <w:rsid w:val="00025F36"/>
    <w:rsid w:val="00061422"/>
    <w:rsid w:val="00084205"/>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AAE"/>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B5FC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369"/>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B44AF"/>
    <w:rsid w:val="009C6A0B"/>
    <w:rsid w:val="009E64A8"/>
    <w:rsid w:val="009F0C77"/>
    <w:rsid w:val="009F4DD1"/>
    <w:rsid w:val="00A02543"/>
    <w:rsid w:val="00A40B12"/>
    <w:rsid w:val="00A41684"/>
    <w:rsid w:val="00A64E80"/>
    <w:rsid w:val="00A72BCD"/>
    <w:rsid w:val="00A741D9"/>
    <w:rsid w:val="00A833AB"/>
    <w:rsid w:val="00A9741D"/>
    <w:rsid w:val="00AB39D9"/>
    <w:rsid w:val="00AC34A2"/>
    <w:rsid w:val="00AC5A67"/>
    <w:rsid w:val="00AD1C9A"/>
    <w:rsid w:val="00AD4B17"/>
    <w:rsid w:val="00B412D4"/>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F2368"/>
    <w:rsid w:val="00F24442"/>
    <w:rsid w:val="00F361A3"/>
    <w:rsid w:val="00F50AE3"/>
    <w:rsid w:val="00F655B7"/>
    <w:rsid w:val="00F656BA"/>
    <w:rsid w:val="00F67CF1"/>
    <w:rsid w:val="00F728AA"/>
    <w:rsid w:val="00F840F0"/>
    <w:rsid w:val="00FB0D0D"/>
    <w:rsid w:val="00FB12E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 w:type="paragraph" w:styleId="BalloonText">
    <w:name w:val="Balloon Text"/>
    <w:basedOn w:val="Normal"/>
    <w:link w:val="BalloonTextChar"/>
    <w:uiPriority w:val="99"/>
    <w:semiHidden/>
    <w:unhideWhenUsed/>
    <w:rsid w:val="00A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92BAB-85E6-496F-BCD1-86D2144A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C6E13CF0.dotm</Template>
  <TotalTime>0</TotalTime>
  <Pages>6</Pages>
  <Words>1654</Words>
  <Characters>8998</Characters>
  <Application>Microsoft Office Word</Application>
  <DocSecurity>0</DocSecurity>
  <Lines>223</Lines>
  <Paragraphs>52</Paragraphs>
  <ScaleCrop>false</ScaleCrop>
  <HeadingPairs>
    <vt:vector size="2" baseType="variant">
      <vt:variant>
        <vt:lpstr>Title</vt:lpstr>
      </vt:variant>
      <vt:variant>
        <vt:i4>1</vt:i4>
      </vt:variant>
    </vt:vector>
  </HeadingPairs>
  <TitlesOfParts>
    <vt:vector size="1" baseType="lpstr">
      <vt:lpstr>2017-2018 Bill 3622: Subject not yet available - South Carolina Legislature Online</vt:lpstr>
    </vt:vector>
  </TitlesOfParts>
  <Company>LPITS</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(May 9, 2018) - South Carolina Legislature Online</dc:title>
  <dc:creator>angiemorgan</dc:creator>
  <cp:lastModifiedBy>Lavarres Lynch</cp:lastModifiedBy>
  <cp:revision>2</cp:revision>
  <cp:lastPrinted>2018-05-08T19:42:00Z</cp:lastPrinted>
  <dcterms:created xsi:type="dcterms:W3CDTF">2018-05-09T15:52:00Z</dcterms:created>
  <dcterms:modified xsi:type="dcterms:W3CDTF">2018-05-09T15:52:00Z</dcterms:modified>
</cp:coreProperties>
</file>