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393"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Pr="00BB15BA" w:rsidRDefault="00BB15BA" w:rsidP="00BB15BA">
      <w:pPr>
        <w:tabs>
          <w:tab w:val="right" w:pos="5933"/>
        </w:tabs>
        <w:suppressAutoHyphens/>
      </w:pPr>
      <w:r>
        <w:tab/>
      </w:r>
      <w:r>
        <w:rPr>
          <w:b/>
          <w:sz w:val="36"/>
        </w:rPr>
        <w:t>H. 3819</w:t>
      </w: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04E6F">
        <w:t>Reps. Bedingfield, Fry, Henderson, Huggins, Johnson, Hewitt, Crawford, Duckworth, King, Knight, Arrington, Forrest</w:t>
      </w:r>
      <w:r w:rsidR="00AF1D7A">
        <w:t>er</w:t>
      </w:r>
      <w:r w:rsidRPr="00604E6F">
        <w:t>, Allison, Tallon, Hamilton, Felder, Elliott, Jordan, B. Newton, Martin, McCravy, Wheeler, Erickson, West, Lowe, Ryhal, Atwater, Willis, Jefferson, W. Newton, Thigpen, Bennett,</w:t>
      </w:r>
      <w:r w:rsidR="00AF1D7A">
        <w:t xml:space="preserve"> Crosby, Long, Putnam, Cogswell </w:t>
      </w:r>
      <w:bookmarkStart w:id="0" w:name="_GoBack"/>
      <w:bookmarkEnd w:id="0"/>
      <w:r w:rsidRPr="00604E6F">
        <w:t>and Henderson</w:t>
      </w:r>
      <w:r w:rsidRPr="00604E6F">
        <w:noBreakHyphen/>
        <w:t>Myers</w:t>
      </w: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BB15BA" w:rsidRPr="00BB15BA"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5BA"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p>
    <w:p w:rsidR="0010776B" w:rsidRDefault="00BB1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BB15BA" w:rsidRDefault="00BB1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00127ACF" w:rsidRPr="00DA5A74">
        <w:rPr>
          <w:color w:val="000000" w:themeColor="text1"/>
          <w:u w:color="000000" w:themeColor="text1"/>
        </w:rPr>
        <w:t>.</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proofErr w:type="gramStart"/>
      <w:r w:rsidRPr="00DA5A74">
        <w:rPr>
          <w:color w:val="000000" w:themeColor="text1"/>
          <w:u w:color="000000" w:themeColor="text1"/>
        </w:rPr>
        <w:t>the</w:t>
      </w:r>
      <w:proofErr w:type="gramEnd"/>
      <w:r w:rsidRPr="00DA5A74">
        <w:rPr>
          <w:color w:val="000000" w:themeColor="text1"/>
          <w:u w:color="000000" w:themeColor="text1"/>
        </w:rPr>
        <w:t xml:space="preserv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proofErr w:type="gramStart"/>
      <w:r w:rsidRPr="00DA5A74">
        <w:rPr>
          <w:color w:val="000000" w:themeColor="text1"/>
          <w:u w:color="000000" w:themeColor="text1"/>
        </w:rPr>
        <w:t>the</w:t>
      </w:r>
      <w:proofErr w:type="gramEnd"/>
      <w:r w:rsidRPr="00DA5A74">
        <w:rPr>
          <w:color w:val="000000" w:themeColor="text1"/>
          <w:u w:color="000000" w:themeColor="text1"/>
        </w:rPr>
        <w:t xml:space="preserv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proofErr w:type="gramStart"/>
      <w:r w:rsidRPr="00DA5A74">
        <w:rPr>
          <w:color w:val="000000" w:themeColor="text1"/>
          <w:u w:color="000000" w:themeColor="text1"/>
        </w:rPr>
        <w:t>the</w:t>
      </w:r>
      <w:proofErr w:type="gramEnd"/>
      <w:r w:rsidRPr="00DA5A74">
        <w:rPr>
          <w:color w:val="000000" w:themeColor="text1"/>
          <w:u w:color="000000" w:themeColor="text1"/>
        </w:rPr>
        <w:t xml:space="preserv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 xml:space="preserve">any other information in the patient counseling information section of the labeling for the opioid analgesic required pursuant to 21 </w:t>
      </w:r>
      <w:proofErr w:type="spellStart"/>
      <w:r w:rsidR="00127ACF" w:rsidRPr="00DA5A74">
        <w:rPr>
          <w:color w:val="000000" w:themeColor="text1"/>
          <w:u w:color="000000" w:themeColor="text1"/>
        </w:rPr>
        <w:t>C.F.R</w:t>
      </w:r>
      <w:proofErr w:type="spellEnd"/>
      <w:r w:rsidR="00127ACF" w:rsidRPr="00DA5A74">
        <w:rPr>
          <w:color w:val="000000" w:themeColor="text1"/>
          <w:u w:color="000000" w:themeColor="text1"/>
        </w:rPr>
        <w:t>.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proofErr w:type="gramStart"/>
      <w:r w:rsidR="00127ACF" w:rsidRPr="00DA5A74">
        <w:rPr>
          <w:color w:val="000000" w:themeColor="text1"/>
          <w:u w:color="000000" w:themeColor="text1"/>
        </w:rPr>
        <w:t>obtain</w:t>
      </w:r>
      <w:proofErr w:type="gramEnd"/>
      <w:r w:rsidR="00127ACF" w:rsidRPr="00DA5A74">
        <w:rPr>
          <w:color w:val="000000" w:themeColor="text1"/>
          <w:u w:color="000000" w:themeColor="text1"/>
        </w:rPr>
        <w:t xml:space="preserve">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The prescriber shall record the consent required pursuant to subsection (A</w:t>
      </w:r>
      <w:proofErr w:type="gramStart"/>
      <w:r w:rsidR="00127ACF" w:rsidRPr="00DA5A74">
        <w:rPr>
          <w:color w:val="000000" w:themeColor="text1"/>
          <w:u w:color="000000" w:themeColor="text1"/>
        </w:rPr>
        <w:t>)(</w:t>
      </w:r>
      <w:proofErr w:type="gramEnd"/>
      <w:r w:rsidR="00127ACF" w:rsidRPr="00DA5A74">
        <w:rPr>
          <w:color w:val="000000" w:themeColor="text1"/>
          <w:u w:color="000000" w:themeColor="text1"/>
        </w:rPr>
        <w:t xml:space="preserve">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proofErr w:type="gramStart"/>
      <w:r w:rsidR="00127ACF" w:rsidRPr="00DA5A74">
        <w:rPr>
          <w:color w:val="000000" w:themeColor="text1"/>
          <w:u w:color="000000" w:themeColor="text1"/>
        </w:rPr>
        <w:t>the</w:t>
      </w:r>
      <w:proofErr w:type="gramEnd"/>
      <w:r w:rsidR="00127ACF" w:rsidRPr="00DA5A74">
        <w:rPr>
          <w:color w:val="000000" w:themeColor="text1"/>
          <w:u w:color="000000" w:themeColor="text1"/>
        </w:rPr>
        <w:t xml:space="preserv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proofErr w:type="gramStart"/>
      <w:r w:rsidR="00127ACF" w:rsidRPr="00DA5A74">
        <w:rPr>
          <w:color w:val="000000" w:themeColor="text1"/>
          <w:u w:color="000000" w:themeColor="text1"/>
        </w:rPr>
        <w:t>a</w:t>
      </w:r>
      <w:proofErr w:type="gramEnd"/>
      <w:r w:rsidR="00127ACF" w:rsidRPr="00DA5A74">
        <w:rPr>
          <w:color w:val="000000" w:themeColor="text1"/>
          <w:u w:color="000000" w:themeColor="text1"/>
        </w:rPr>
        <w:t xml:space="preserve">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proofErr w:type="gramStart"/>
      <w:r w:rsidR="00127ACF" w:rsidRPr="00DA5A74">
        <w:rPr>
          <w:color w:val="000000" w:themeColor="text1"/>
          <w:u w:color="000000" w:themeColor="text1"/>
        </w:rPr>
        <w:t>the</w:t>
      </w:r>
      <w:proofErr w:type="gramEnd"/>
      <w:r w:rsidR="00127ACF" w:rsidRPr="00DA5A74">
        <w:rPr>
          <w:color w:val="000000" w:themeColor="text1"/>
          <w:u w:color="000000" w:themeColor="text1"/>
        </w:rPr>
        <w:t xml:space="preserv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proofErr w:type="gramStart"/>
      <w:r w:rsidR="00127ACF" w:rsidRPr="00DA5A74">
        <w:rPr>
          <w:color w:val="000000" w:themeColor="text1"/>
          <w:u w:color="000000" w:themeColor="text1"/>
        </w:rPr>
        <w:t>the</w:t>
      </w:r>
      <w:proofErr w:type="gramEnd"/>
      <w:r w:rsidR="00127ACF" w:rsidRPr="00DA5A74">
        <w:rPr>
          <w:color w:val="000000" w:themeColor="text1"/>
          <w:u w:color="000000" w:themeColor="text1"/>
        </w:rPr>
        <w:t xml:space="preserv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t>(C)(1)</w:t>
      </w:r>
      <w:r w:rsidRPr="00593D41">
        <w:rPr>
          <w:u w:color="000000" w:themeColor="text1"/>
        </w:rPr>
        <w:tab/>
        <w:t>The requirements set forth in subsection (A) do not apply if the minor’s treatment with an opioid analgesic:</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(a)</w:t>
      </w:r>
      <w:r w:rsidRPr="00593D41">
        <w:rPr>
          <w:u w:color="000000" w:themeColor="text1"/>
        </w:rPr>
        <w:tab/>
      </w:r>
      <w:proofErr w:type="gramStart"/>
      <w:r w:rsidRPr="00593D41">
        <w:rPr>
          <w:u w:color="000000" w:themeColor="text1"/>
        </w:rPr>
        <w:t>is</w:t>
      </w:r>
      <w:proofErr w:type="gramEnd"/>
      <w:r w:rsidRPr="00593D41">
        <w:rPr>
          <w:u w:color="000000" w:themeColor="text1"/>
        </w:rPr>
        <w:t xml:space="preserve"> associated with or incident to a medical emergency;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(b)</w:t>
      </w:r>
      <w:r w:rsidRPr="00593D41">
        <w:rPr>
          <w:u w:color="000000" w:themeColor="text1"/>
        </w:rPr>
        <w:tab/>
      </w:r>
      <w:proofErr w:type="gramStart"/>
      <w:r w:rsidRPr="00593D41">
        <w:rPr>
          <w:u w:color="000000" w:themeColor="text1"/>
        </w:rPr>
        <w:t>is</w:t>
      </w:r>
      <w:proofErr w:type="gramEnd"/>
      <w:r w:rsidRPr="00593D41">
        <w:rPr>
          <w:u w:color="000000" w:themeColor="text1"/>
        </w:rPr>
        <w:t xml:space="preserve"> associated with or incident to surgery, regardless of whether the surgery is performed on an inpatient or outpatient basis; </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(c)</w:t>
      </w:r>
      <w:r w:rsidRPr="00593D41">
        <w:tab/>
      </w:r>
      <w:proofErr w:type="gramStart"/>
      <w:r w:rsidRPr="00593D41">
        <w:t>is</w:t>
      </w:r>
      <w:proofErr w:type="gramEnd"/>
      <w:r w:rsidRPr="00593D41">
        <w:t xml:space="preserve"> associated with pain management treatment for cancer or hematological disorders including, but not limited to, sickle cell disease;</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w:t>
      </w:r>
      <w:proofErr w:type="gramStart"/>
      <w:r w:rsidRPr="00593D41">
        <w:t>d</w:t>
      </w:r>
      <w:proofErr w:type="gramEnd"/>
      <w:r w:rsidRPr="00593D41">
        <w:t>)</w:t>
      </w:r>
      <w:r w:rsidRPr="00593D41">
        <w:tab/>
        <w:t>is associated with the treatment of neonatal abstinence syndrome;</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w:t>
      </w:r>
      <w:proofErr w:type="gramStart"/>
      <w:r w:rsidRPr="00593D41">
        <w:t>e</w:t>
      </w:r>
      <w:proofErr w:type="gramEnd"/>
      <w:r w:rsidRPr="00593D41">
        <w:t>)</w:t>
      </w:r>
      <w:r w:rsidRPr="00593D41">
        <w:tab/>
        <w:t>is limited to liquid antitussive medication;</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(f)</w:t>
      </w:r>
      <w:r w:rsidRPr="00593D41">
        <w:tab/>
      </w:r>
      <w:r w:rsidRPr="00593D41">
        <w:tab/>
      </w:r>
      <w:proofErr w:type="gramStart"/>
      <w:r w:rsidRPr="00593D41">
        <w:t>in</w:t>
      </w:r>
      <w:proofErr w:type="gramEnd"/>
      <w:r w:rsidRPr="00593D41">
        <w:t xml:space="preserve"> the prescriber’s professional judgment, fulfilling the requirements of subsection (A) would be a detriment to the minor’s health or safety;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lastRenderedPageBreak/>
        <w:tab/>
      </w:r>
      <w:r w:rsidRPr="00593D41">
        <w:tab/>
      </w:r>
      <w:r w:rsidRPr="00593D41">
        <w:tab/>
        <w:t>(g)</w:t>
      </w:r>
      <w:r w:rsidRPr="00593D41">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(h)</w:t>
      </w:r>
      <w:r w:rsidRPr="00593D41">
        <w:tab/>
      </w:r>
      <w:proofErr w:type="gramStart"/>
      <w:r w:rsidRPr="00593D41">
        <w:t>is</w:t>
      </w:r>
      <w:proofErr w:type="gramEnd"/>
      <w:r w:rsidRPr="00593D41">
        <w:t xml:space="preserve"> ordered by a practitioner issuing a prescription for a Schedule II controlled substance to treat a hospice</w:t>
      </w:r>
      <w:r w:rsidRPr="00593D41">
        <w:noBreakHyphen/>
        <w:t>certified patient;</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w:t>
      </w:r>
      <w:proofErr w:type="spellStart"/>
      <w:r w:rsidRPr="00593D41">
        <w:t>i</w:t>
      </w:r>
      <w:proofErr w:type="spellEnd"/>
      <w:r w:rsidRPr="00593D41">
        <w:t xml:space="preserve">) </w:t>
      </w:r>
      <w:r w:rsidRPr="00593D41">
        <w:tab/>
        <w:t>is ordered by a practitioner issuing a prescription for a Schedule II controlled substance that does not exceed a five</w:t>
      </w:r>
      <w:r w:rsidRPr="00593D41">
        <w:noBreakHyphen/>
        <w:t>day supply for a patient; or</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(j) </w:t>
      </w:r>
      <w:r w:rsidRPr="00593D41">
        <w:tab/>
      </w:r>
      <w:proofErr w:type="gramStart"/>
      <w:r w:rsidRPr="00593D41">
        <w:t>is</w:t>
      </w:r>
      <w:proofErr w:type="gramEnd"/>
      <w:r w:rsidRPr="00593D41">
        <w:t xml:space="preserve">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t>(2)</w:t>
      </w:r>
      <w:r w:rsidRPr="00593D41">
        <w:rPr>
          <w:u w:color="000000" w:themeColor="text1"/>
        </w:rPr>
        <w:tab/>
        <w:t>The requirements of subsection (A) do not apply to a prescription for an opioid analgesic that a prescriber issues to a minor at the time of discharge from a facility or other location described in subsection (C</w:t>
      </w:r>
      <w:proofErr w:type="gramStart"/>
      <w:r w:rsidRPr="00593D41">
        <w:rPr>
          <w:u w:color="000000" w:themeColor="text1"/>
        </w:rPr>
        <w:t>)(</w:t>
      </w:r>
      <w:proofErr w:type="gramEnd"/>
      <w:r w:rsidRPr="00593D41">
        <w:rPr>
          <w:u w:color="000000" w:themeColor="text1"/>
        </w:rPr>
        <w:t>1)(g).</w:t>
      </w:r>
    </w:p>
    <w:p w:rsidR="00127ACF" w:rsidRPr="00DA5A74"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D41">
        <w:rPr>
          <w:u w:color="000000" w:themeColor="text1"/>
        </w:rPr>
        <w:tab/>
        <w:t>(D)</w:t>
      </w:r>
      <w:r w:rsidRPr="00593D41">
        <w:rPr>
          <w:u w:color="000000" w:themeColor="text1"/>
        </w:rPr>
        <w:tab/>
        <w:t>The exemption provided pursuant to subsection (C)(1)(g) does not apply to treatment rendered in a prescriber’s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8BD" w:rsidRDefault="006D18BD" w:rsidP="006D18BD">
      <w:pPr>
        <w:suppressAutoHyphens/>
      </w:pPr>
    </w:p>
    <w:sectPr w:rsidR="006D18BD"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2C205-7EFB-4E0A-85CC-A2B930E0CCC2}"/>
    <w:embedBold r:id="rId2" w:fontKey="{5E35DB46-42B4-4C27-801D-0046AB9EE730}"/>
  </w:font>
  <w:font w:name="Calibri">
    <w:panose1 w:val="020F0502020204030204"/>
    <w:charset w:val="00"/>
    <w:family w:val="swiss"/>
    <w:pitch w:val="variable"/>
    <w:sig w:usb0="E00002FF" w:usb1="4000ACFF" w:usb2="00000001" w:usb3="00000000" w:csb0="0000019F" w:csb1="00000000"/>
    <w:embedRegular r:id="rId3" w:fontKey="{40160565-6502-4C76-9975-E46547BC3D26}"/>
  </w:font>
  <w:font w:name="Segoe UI">
    <w:panose1 w:val="020B0502040204020203"/>
    <w:charset w:val="00"/>
    <w:family w:val="swiss"/>
    <w:pitch w:val="variable"/>
    <w:sig w:usb0="E10022FF" w:usb1="C000E47F" w:usb2="00000029" w:usb3="00000000" w:csb0="000001DF" w:csb1="00000000"/>
    <w:embedRegular r:id="rId4" w:fontKey="{D6808C55-2C98-404A-938D-F0B3AA051FEA}"/>
  </w:font>
  <w:font w:name="Cambria">
    <w:panose1 w:val="02040503050406030204"/>
    <w:charset w:val="00"/>
    <w:family w:val="roman"/>
    <w:pitch w:val="variable"/>
    <w:sig w:usb0="E00002FF" w:usb1="400004FF" w:usb2="00000000" w:usb3="00000000" w:csb0="0000019F" w:csb1="00000000"/>
    <w:embedRegular r:id="rId5" w:fontKey="{591C8E8F-1C75-418D-896B-5C362D563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AF1D7A">
      <w:rPr>
        <w:noProof/>
      </w:rPr>
      <w:t>1</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AF1D7A">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273C6"/>
    <w:rsid w:val="00530A69"/>
    <w:rsid w:val="00545593"/>
    <w:rsid w:val="00577C6C"/>
    <w:rsid w:val="00593FBA"/>
    <w:rsid w:val="005C2FE2"/>
    <w:rsid w:val="005E2BC9"/>
    <w:rsid w:val="00605102"/>
    <w:rsid w:val="00615BCF"/>
    <w:rsid w:val="00620E2E"/>
    <w:rsid w:val="006215AA"/>
    <w:rsid w:val="006913C9"/>
    <w:rsid w:val="0069470D"/>
    <w:rsid w:val="006B1393"/>
    <w:rsid w:val="006C1FDE"/>
    <w:rsid w:val="006C5CDC"/>
    <w:rsid w:val="006D18BD"/>
    <w:rsid w:val="006E779F"/>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335C"/>
    <w:rsid w:val="009F4DD1"/>
    <w:rsid w:val="00A31071"/>
    <w:rsid w:val="00A41684"/>
    <w:rsid w:val="00A64E80"/>
    <w:rsid w:val="00A72BCD"/>
    <w:rsid w:val="00A738CA"/>
    <w:rsid w:val="00A741D9"/>
    <w:rsid w:val="00A833AB"/>
    <w:rsid w:val="00A9741D"/>
    <w:rsid w:val="00AD4B17"/>
    <w:rsid w:val="00AF1D7A"/>
    <w:rsid w:val="00B412D4"/>
    <w:rsid w:val="00BB15BA"/>
    <w:rsid w:val="00BE3C22"/>
    <w:rsid w:val="00C0345E"/>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38AC3-EE94-41A6-A76E-F83B2998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153710C4.dotm</Template>
  <TotalTime>1</TotalTime>
  <Pages>5</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(Feb. 22, 2018) - South Carolina Legislature Online</dc:title>
  <dc:creator>%USERNAME%</dc:creator>
  <cp:lastModifiedBy>Derrick Williamson</cp:lastModifiedBy>
  <cp:revision>3</cp:revision>
  <cp:lastPrinted>2017-01-05T16:48:00Z</cp:lastPrinted>
  <dcterms:created xsi:type="dcterms:W3CDTF">2018-02-22T21:42:00Z</dcterms:created>
  <dcterms:modified xsi:type="dcterms:W3CDTF">2018-02-28T21:27:00Z</dcterms:modified>
</cp:coreProperties>
</file>