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5442" w:rsidRP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Pr="00835442" w:rsidRDefault="00835442" w:rsidP="00835442">
      <w:pPr>
        <w:tabs>
          <w:tab w:val="right" w:pos="5933"/>
        </w:tabs>
        <w:suppressAutoHyphens/>
      </w:pPr>
      <w:r>
        <w:tab/>
      </w:r>
      <w:r>
        <w:rPr>
          <w:b/>
          <w:sz w:val="36"/>
        </w:rPr>
        <w:t>H. 4378</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and Arrington</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1/10/18--H.</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4378) </w:t>
      </w:r>
      <w:r w:rsidRPr="00835442">
        <w:rPr>
          <w:color w:val="000000" w:themeColor="text1"/>
          <w:u w:color="000000" w:themeColor="text1"/>
        </w:rPr>
        <w:t>to amend the Code of Laws of South Carolina, 1976, by adding Article 6 to Chapter 3, Title 58 so as to create the Utility O</w:t>
      </w:r>
      <w:r w:rsidR="00C76C65">
        <w:rPr>
          <w:color w:val="000000" w:themeColor="text1"/>
          <w:u w:color="000000" w:themeColor="text1"/>
        </w:rPr>
        <w:t>versight</w:t>
      </w:r>
      <w:r>
        <w:t>, etc., respectfully</w:t>
      </w: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Amend the bill, as and if amended, Part 3, by adding an appropriately numbered SECTION to read:</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w:t>
      </w:r>
      <w:r w:rsidRPr="004E5531">
        <w:tab/>
        <w:t>SECTION</w:t>
      </w:r>
      <w:r w:rsidRPr="004E5531">
        <w:tab/>
        <w:t>___.</w:t>
      </w:r>
      <w:r w:rsidRPr="004E5531">
        <w:tab/>
        <w:t>Section 8</w:t>
      </w:r>
      <w:r w:rsidRPr="004E5531">
        <w:noBreakHyphen/>
        <w:t>13</w:t>
      </w:r>
      <w:r w:rsidRPr="004E5531">
        <w:noBreakHyphen/>
        <w:t>1344(</w:t>
      </w:r>
      <w:bookmarkStart w:id="0" w:name="temp"/>
      <w:bookmarkEnd w:id="0"/>
      <w:r w:rsidRPr="004E5531">
        <w:t>A) of the 1976 Code, as added by Act 248 of 1991, is amended to read:</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531">
        <w:tab/>
        <w:t>“(A)</w:t>
      </w:r>
      <w:r w:rsidRPr="004E5531">
        <w:rPr>
          <w:u w:val="single"/>
        </w:rPr>
        <w:t>(1)</w:t>
      </w:r>
      <w:r w:rsidRPr="004E5531">
        <w:tab/>
        <w:t>A public utility may not include in its operating expenses a contribution or expenditure to influence an election or to operate a political action committee.</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531">
        <w:tab/>
      </w:r>
      <w:r w:rsidRPr="004E5531">
        <w:tab/>
      </w:r>
      <w:r w:rsidRPr="004E5531">
        <w:rPr>
          <w:u w:val="single"/>
        </w:rPr>
        <w:t>(2)</w:t>
      </w:r>
      <w:r w:rsidRPr="004E5531">
        <w:tab/>
      </w:r>
      <w:r w:rsidRPr="004E5531">
        <w:rPr>
          <w:u w:val="single"/>
        </w:rPr>
        <w:t>A public utility may not make a campaign contribution to any member of the Utility Oversight Committee, established pursuant to Article 6, Chapter 3, Title 58.</w:t>
      </w:r>
      <w:r w:rsidRPr="004E5531">
        <w:t>”</w:t>
      </w:r>
      <w:r w:rsidRPr="004E5531">
        <w:tab/>
      </w:r>
      <w:r w:rsidRPr="004E5531">
        <w:tab/>
      </w:r>
      <w:r w:rsidRPr="004E5531">
        <w:tab/>
        <w:t>/</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Renumber sections to conform.</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5531">
        <w:t>Amend title to conform.</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C76C65" w:rsidRP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C65" w:rsidSect="008354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6CA5" w:rsidRDefault="00276CA5"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00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REPEAL</w:t>
      </w:r>
      <w:r w:rsidR="006348C3">
        <w:rPr>
          <w:color w:val="000000" w:themeColor="text1"/>
          <w:u w:color="000000" w:themeColor="text1"/>
        </w:rPr>
        <w:t xml:space="preserve"> ARTICLE 5, CHAPTER 3, TITLE 58</w:t>
      </w:r>
      <w:r>
        <w:rPr>
          <w:color w:val="000000" w:themeColor="text1"/>
          <w:u w:color="000000" w:themeColor="text1"/>
        </w:rPr>
        <w:t xml:space="preserve"> RELATING TO THE STATE REGULATION OF PUBLIC UTILITIES REVIEW COMMITTEE</w:t>
      </w:r>
      <w:r w:rsidR="00233DDF">
        <w:rPr>
          <w:color w:val="000000" w:themeColor="text1"/>
          <w:u w:color="000000" w:themeColor="text1"/>
        </w:rPr>
        <w:t>; AND TO</w:t>
      </w:r>
      <w:r>
        <w:rPr>
          <w:color w:val="000000" w:themeColor="text1"/>
          <w:u w:color="000000" w:themeColor="text1"/>
        </w:rPr>
        <w:t xml:space="preserve"> AMEND SECTIONS 8</w:t>
      </w:r>
      <w:r w:rsidR="00E73A17">
        <w:rPr>
          <w:color w:val="000000" w:themeColor="text1"/>
          <w:u w:color="000000" w:themeColor="text1"/>
        </w:rPr>
        <w:noBreakHyphen/>
      </w:r>
      <w:r>
        <w:rPr>
          <w:color w:val="000000" w:themeColor="text1"/>
          <w:u w:color="000000" w:themeColor="text1"/>
        </w:rPr>
        <w:t>13</w:t>
      </w:r>
      <w:r w:rsidR="00E73A17">
        <w:rPr>
          <w:color w:val="000000" w:themeColor="text1"/>
          <w:u w:color="000000" w:themeColor="text1"/>
        </w:rPr>
        <w:noBreakHyphen/>
      </w:r>
      <w:r>
        <w:rPr>
          <w:color w:val="000000" w:themeColor="text1"/>
          <w:u w:color="000000" w:themeColor="text1"/>
        </w:rPr>
        <w:t>935, 58</w:t>
      </w:r>
      <w:r w:rsidR="00E73A17">
        <w:rPr>
          <w:color w:val="000000" w:themeColor="text1"/>
          <w:u w:color="000000" w:themeColor="text1"/>
        </w:rPr>
        <w:noBreakHyphen/>
      </w:r>
      <w:r>
        <w:rPr>
          <w:color w:val="000000" w:themeColor="text1"/>
          <w:u w:color="000000" w:themeColor="text1"/>
        </w:rPr>
        <w:t>3</w:t>
      </w:r>
      <w:r w:rsidR="00E73A17">
        <w:rPr>
          <w:color w:val="000000" w:themeColor="text1"/>
          <w:u w:color="000000" w:themeColor="text1"/>
        </w:rPr>
        <w:noBreakHyphen/>
      </w:r>
      <w:r>
        <w:rPr>
          <w:color w:val="000000" w:themeColor="text1"/>
          <w:u w:color="000000" w:themeColor="text1"/>
        </w:rPr>
        <w:t>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280, 58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2689, 58</w:t>
      </w:r>
      <w:r w:rsidR="00E73A17">
        <w:rPr>
          <w:color w:val="000000" w:themeColor="text1"/>
          <w:u w:color="000000" w:themeColor="text1"/>
        </w:rPr>
        <w:noBreakHyphen/>
      </w:r>
      <w:r>
        <w:rPr>
          <w:color w:val="000000" w:themeColor="text1"/>
          <w:u w:color="000000" w:themeColor="text1"/>
        </w:rPr>
        <w:t>27</w:t>
      </w:r>
      <w:r w:rsidR="00E73A17">
        <w:rPr>
          <w:color w:val="000000" w:themeColor="text1"/>
          <w:u w:color="000000" w:themeColor="text1"/>
        </w:rPr>
        <w:noBreakHyphen/>
      </w:r>
      <w:r>
        <w:rPr>
          <w:color w:val="000000" w:themeColor="text1"/>
          <w:u w:color="000000" w:themeColor="text1"/>
        </w:rPr>
        <w:t>2630, 58</w:t>
      </w:r>
      <w:r w:rsidR="00E73A17">
        <w:rPr>
          <w:color w:val="000000" w:themeColor="text1"/>
          <w:u w:color="000000" w:themeColor="text1"/>
        </w:rPr>
        <w:noBreakHyphen/>
      </w:r>
      <w:r>
        <w:rPr>
          <w:color w:val="000000" w:themeColor="text1"/>
          <w:u w:color="000000" w:themeColor="text1"/>
        </w:rPr>
        <w:t>31</w:t>
      </w:r>
      <w:r w:rsidR="00E73A17">
        <w:rPr>
          <w:color w:val="000000" w:themeColor="text1"/>
          <w:u w:color="000000" w:themeColor="text1"/>
        </w:rPr>
        <w:noBreakHyphen/>
      </w:r>
      <w:r>
        <w:rPr>
          <w:color w:val="000000" w:themeColor="text1"/>
          <w:u w:color="000000" w:themeColor="text1"/>
        </w:rPr>
        <w:t>20, AND 58</w:t>
      </w:r>
      <w:r w:rsidR="00E73A17">
        <w:rPr>
          <w:color w:val="000000" w:themeColor="text1"/>
          <w:u w:color="000000" w:themeColor="text1"/>
        </w:rPr>
        <w:noBreakHyphen/>
      </w:r>
      <w:r>
        <w:rPr>
          <w:color w:val="000000" w:themeColor="text1"/>
          <w:u w:color="000000" w:themeColor="text1"/>
        </w:rPr>
        <w:t>39</w:t>
      </w:r>
      <w:r w:rsidR="00E73A17">
        <w:rPr>
          <w:color w:val="000000" w:themeColor="text1"/>
          <w:u w:color="000000" w:themeColor="text1"/>
        </w:rPr>
        <w:noBreakHyphen/>
      </w:r>
      <w:r>
        <w:rPr>
          <w:color w:val="000000" w:themeColor="text1"/>
          <w:u w:color="000000" w:themeColor="text1"/>
        </w:rPr>
        <w:t>140, ALL RELATING TO UTILITIES AND THE REGULATION AND OVERSIGHT OF UTILITIES, S</w:t>
      </w:r>
      <w:r w:rsidR="00847DF8">
        <w:rPr>
          <w:color w:val="000000" w:themeColor="text1"/>
          <w:u w:color="000000" w:themeColor="text1"/>
        </w:rPr>
        <w:t>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Pr="00535238" w:rsidRDefault="006348C3"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F7CF5">
        <w:rPr>
          <w:color w:val="000000" w:themeColor="text1"/>
          <w:u w:color="000000" w:themeColor="text1"/>
        </w:rPr>
        <w:tab/>
      </w:r>
      <w:r w:rsidR="003F7CF5">
        <w:rPr>
          <w:color w:val="000000" w:themeColor="text1"/>
          <w:u w:color="000000" w:themeColor="text1"/>
        </w:rPr>
        <w:tab/>
      </w:r>
      <w:r w:rsidR="003F7CF5" w:rsidRPr="00535238">
        <w:rPr>
          <w:color w:val="000000" w:themeColor="text1"/>
          <w:u w:color="000000" w:themeColor="text1"/>
        </w:rPr>
        <w:t xml:space="preserve">Chapter 3, Title 58 of the 1976 Code is amended </w:t>
      </w:r>
      <w:r w:rsidR="003F7CF5">
        <w:rPr>
          <w:color w:val="000000" w:themeColor="text1"/>
          <w:u w:color="000000" w:themeColor="text1"/>
        </w:rPr>
        <w:t>by adding</w:t>
      </w:r>
      <w:r w:rsidR="003F7CF5" w:rsidRPr="00535238">
        <w:rPr>
          <w:color w:val="000000" w:themeColor="text1"/>
          <w:u w:color="000000" w:themeColor="text1"/>
        </w:rPr>
        <w:t>:</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lastRenderedPageBreak/>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rsidR="00E73A17">
        <w:noBreakHyphen/>
      </w:r>
      <w:r w:rsidRPr="007D1C70">
        <w:t>3</w:t>
      </w:r>
      <w:r w:rsidR="00E73A17">
        <w:noBreakHyphen/>
      </w:r>
      <w:r w:rsidRPr="007D1C70">
        <w:t>20(A)</w:t>
      </w:r>
      <w:r>
        <w:t xml:space="preserve">.  </w:t>
      </w:r>
      <w:r w:rsidRPr="007D1C70">
        <w:t>Provided, however, that in making appointments to the committee, race, gender, and other demographic factors should be considered to assure nondiscrimination, inclusion, and representation to the greatest extent possible of all segments of the population of the State. The members of the general public must be representative of all citizens of this State and must not be members of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must meet as soon as practicable after appointment and organize itself by electing</w:t>
      </w:r>
      <w:r>
        <w:t xml:space="preserve"> one of its members</w:t>
      </w:r>
      <w:r w:rsidRPr="007D1C70">
        <w:t xml:space="preserve"> </w:t>
      </w:r>
      <w:r>
        <w:t xml:space="preserve">as chairman, and other officers </w:t>
      </w:r>
      <w:r w:rsidRPr="007D1C70">
        <w:t>as the oversight committee may consider necessary.  Thereafter, the oversight committee must meet at least annually and at the call of the chairman or by a majority of the members. A quorum consists of six members.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2018,</w:t>
      </w:r>
      <w:r>
        <w:t xml:space="preserve"> three of</w:t>
      </w:r>
      <w:r w:rsidRPr="007D1C70">
        <w:t xml:space="preserve"> the Governor</w:t>
      </w:r>
      <w:r w:rsidR="00E73A17" w:rsidRPr="00E73A17">
        <w:t>’</w:t>
      </w:r>
      <w:r w:rsidRPr="007D1C70">
        <w:t xml:space="preserve">s appointees shall serve for a term of two years.  In making the appointments, the Governor shall specify </w:t>
      </w:r>
      <w:r>
        <w:t>the length of each appointee</w:t>
      </w:r>
      <w:r w:rsidR="00E73A17" w:rsidRPr="00E73A17">
        <w:t>’</w:t>
      </w:r>
      <w:r>
        <w:t xml:space="preserve">s term.  </w:t>
      </w:r>
      <w:r w:rsidRPr="007D1C70">
        <w:t>Thereafter, the members appointed from the general public shall serve for a term of four years.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00E73A17" w:rsidRPr="00E73A17">
        <w:t>’</w:t>
      </w:r>
      <w:r w:rsidRPr="007D1C70">
        <w:t xml:space="preserve">s applicable current election cycle or the previous two election cycles.  For purposes of this </w:t>
      </w:r>
      <w:r w:rsidRPr="007D1C70">
        <w:lastRenderedPageBreak/>
        <w:t xml:space="preserve">section, </w:t>
      </w:r>
      <w:r w:rsidR="00E73A17" w:rsidRPr="00E73A17">
        <w:t>‘</w:t>
      </w:r>
      <w:r w:rsidRPr="007D1C70">
        <w:t>election cycle</w:t>
      </w:r>
      <w:r w:rsidR="00E73A17" w:rsidRPr="00E73A17">
        <w:t>’</w:t>
      </w:r>
      <w:r w:rsidRPr="007D1C70">
        <w:t xml:space="preserve"> has the same meaning as provided in Section 8</w:t>
      </w:r>
      <w:r w:rsidR="00E73A17">
        <w:noBreakHyphen/>
      </w:r>
      <w:r w:rsidRPr="007D1C70">
        <w:t>13</w:t>
      </w:r>
      <w:r w:rsidR="00E73A17">
        <w:noBreakHyphen/>
      </w:r>
      <w:r w:rsidRPr="007D1C70">
        <w:t>1300.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630.</w:t>
      </w:r>
      <w:r w:rsidRPr="007D1C70">
        <w:tab/>
        <w:t>The oversight committee has the following powers and duties: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t>to nominate: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no more than three candidates for each seat on the Public Service Commission to be elected by the General Assembly. In order to be nominated, a candidate must be found qualified by meeting the requirements as provided in Sections 58</w:t>
      </w:r>
      <w:r w:rsidR="00E73A17">
        <w:noBreakHyphen/>
      </w:r>
      <w:r w:rsidRPr="007D1C70">
        <w:t>3</w:t>
      </w:r>
      <w:r w:rsidR="00E73A17">
        <w:noBreakHyphen/>
      </w:r>
      <w:r w:rsidRPr="007D1C70">
        <w:t>20 and 58</w:t>
      </w:r>
      <w:r w:rsidR="00E73A17">
        <w:noBreakHyphen/>
      </w:r>
      <w:r w:rsidRPr="007D1C70">
        <w:t>3</w:t>
      </w:r>
      <w:r w:rsidR="00E73A17">
        <w:noBreakHyphen/>
      </w:r>
      <w:r w:rsidRPr="007D1C70">
        <w:t>560;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no more than one qualified candidate for the Governor to consider in appointing the Executive Director of the Office of Regulatory Staff. In order to be nominated, a candidate must be found qualified by meeting the minimum requirements as provided in Section 58</w:t>
      </w:r>
      <w:r w:rsidR="00E73A17">
        <w:noBreakHyphen/>
      </w:r>
      <w:r w:rsidRPr="007D1C70">
        <w:t>4</w:t>
      </w:r>
      <w:r w:rsidR="00E73A17">
        <w:noBreakHyphen/>
      </w:r>
      <w:r w:rsidRPr="007D1C70">
        <w:t>30. The oversight committee must give due consideration to a candidate</w:t>
      </w:r>
      <w:r w:rsidR="00E73A17" w:rsidRPr="00E73A17">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t>notwithstanding any other provision of law, to set the salary of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t>to review candidates for appointment to the South Carolina Public Service Authority Board of Directors as submitted by the Governor to determine whether the candidates meet the qualifications set forth in Section 58</w:t>
      </w:r>
      <w:r w:rsidR="00E73A17">
        <w:noBreakHyphen/>
      </w:r>
      <w:r w:rsidRPr="007D1C70">
        <w:t>31</w:t>
      </w:r>
      <w:r w:rsidR="00E73A17">
        <w:noBreakHyphen/>
      </w:r>
      <w:r w:rsidRPr="007D1C70">
        <w:t xml:space="preserve">20; </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t>to conduct an annual performance review of each member of the commission, which must be submitted to the General Assembly. A draft of the member</w:t>
      </w:r>
      <w:r w:rsidR="00E73A17" w:rsidRPr="00E73A17">
        <w:t>’</w:t>
      </w:r>
      <w:r w:rsidRPr="007D1C70">
        <w:t>s performance review must be submitted to the member, and the member must be allowed an opportunity to be heard before the oversight committee before the final draft of the performance review is submitted to the General Assembly. The final performance review must be made a part of the member</w:t>
      </w:r>
      <w:r w:rsidR="00E73A17" w:rsidRPr="00E73A17">
        <w:t>’</w:t>
      </w:r>
      <w:r w:rsidRPr="007D1C70">
        <w:t>s record for consideration if the member seeks reelection to the commission;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(6)</w:t>
      </w:r>
      <w:r w:rsidRPr="007D1C70">
        <w:tab/>
        <w:t>to develop and distribute to each party and its representatives appearing before the commission an anonymous and confidential survey evaluating the commissioners. At a minimum, the survey must include the following:</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knowledge and application of substantive utility issues; ability to perceive relevant issues;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absence of influence by political considerations;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t>absence of influence by identities of lawyers;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t>absence of influence by identities of litigants;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t>courtesy to all persons appearing before the commission;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t>temperament and demeanor in general, preparation for hearings, and attentiveness during hearings;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t>to submit to the General Assembly, on an annual basis, the oversight committee</w:t>
      </w:r>
      <w:r w:rsidR="00E73A17" w:rsidRPr="00E73A17">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t>to conduct an annual performance review of the Executive Director of the Office of Regulatory Staff, which must be submitted to the General Assembly. A draft of the executive director</w:t>
      </w:r>
      <w:r w:rsidR="00E73A17" w:rsidRPr="00E73A17">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t>to submit to the General Assembly, on an annual basis, the oversight committee</w:t>
      </w:r>
      <w:r w:rsidR="00E73A17" w:rsidRPr="00E73A17">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to assist the staff of the oversight committee in developing an annual workshop of at least six contact hours concerning ethics and the Administrative Procedures Act for the commissioners and employees of the Public Service Commission and the Executive Director and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to specify the types of continuing education curriculum the commissioners and their employees must attend, and to approve of the curriculum if it is determined to be satisfactory;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(11)</w:t>
      </w:r>
      <w:r w:rsidRPr="007D1C70">
        <w:tab/>
        <w:t>to make reports and recommendations to the General Assembly on matters relating to the powers and duties set forth in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t>to submit a letter with the annual budget proposals of the Office of Regulatory Staff and the Public Service Commission, indicating the oversight committee has reviewed and approved the proposals;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r w:rsidRPr="007D1C70">
        <w:t>to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t>to undertake such additional studies or evaluations as the oversight committee considers necessary;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t>to submit to the General Assembly, on an annual basis, a review of the state energy action plan of the State Energy Office as required by Section 48</w:t>
      </w:r>
      <w:r w:rsidR="00E73A17">
        <w:noBreakHyphen/>
      </w:r>
      <w:r w:rsidRPr="007D1C70">
        <w:t>52</w:t>
      </w:r>
      <w:r w:rsidR="00E73A17">
        <w:noBreakHyphen/>
      </w:r>
      <w:r w:rsidRPr="007D1C70">
        <w:t>430.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640.</w:t>
      </w:r>
      <w:r w:rsidRPr="007D1C70">
        <w:tab/>
        <w:t>(A)</w:t>
      </w:r>
      <w:r w:rsidRPr="007D1C70">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oversight committee and payable by the authorities from which they are appointed, except as provided in subsection (B) of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expenses associated with the oversight committee</w:t>
      </w:r>
      <w:r w:rsidR="00E73A17" w:rsidRPr="00E73A17">
        <w:t>’</w:t>
      </w:r>
      <w:r w:rsidRPr="007D1C70">
        <w:t>s duties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w:t>
      </w:r>
      <w:r w:rsidR="006348C3">
        <w:t xml:space="preserve">ons of Article 1, Chapter 54, </w:t>
      </w:r>
      <w:r w:rsidRPr="007D1C70">
        <w:t xml:space="preserve">Title 12 and paid, less the Department of Revenue actual incremental increase in the </w:t>
      </w:r>
      <w:r w:rsidRPr="007D1C70">
        <w:lastRenderedPageBreak/>
        <w:t>cost of administration into the state treasury as other taxes collected 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Except as provided in Section 58</w:t>
      </w:r>
      <w:r w:rsidR="00E73A17">
        <w:noBreakHyphen/>
      </w:r>
      <w:r w:rsidRPr="007D1C70">
        <w:t>3</w:t>
      </w:r>
      <w:r w:rsidR="00E73A17">
        <w:noBreakHyphen/>
      </w:r>
      <w:r w:rsidRPr="007D1C70">
        <w:t xml:space="preserve">540(B), the costs and expenses of the </w:t>
      </w:r>
      <w:r>
        <w:t>oversight</w:t>
      </w:r>
      <w:r w:rsidRPr="007D1C70">
        <w:t xml:space="preserve"> committee must be funded in the annual state General Appropriations Act.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rsidR="00E73A17">
        <w:noBreakHyphen/>
      </w:r>
      <w:r w:rsidRPr="007D1C70">
        <w:t>20</w:t>
      </w:r>
      <w:r w:rsidR="00E73A17">
        <w:noBreakHyphen/>
      </w:r>
      <w:r w:rsidRPr="007D1C70">
        <w:t>10, et seq.; however, Section 2</w:t>
      </w:r>
      <w:r w:rsidR="00E73A17">
        <w:noBreakHyphen/>
      </w:r>
      <w:r w:rsidRPr="007D1C70">
        <w:t>20</w:t>
      </w:r>
      <w:r w:rsidR="00E73A17">
        <w:noBreakHyphen/>
      </w:r>
      <w:r w:rsidRPr="007D1C70">
        <w:t>40 is not applicable to a screening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rsidR="00E73A17">
        <w:noBreakHyphen/>
      </w:r>
      <w:r w:rsidRPr="007D1C70">
        <w:t>3</w:t>
      </w:r>
      <w:r w:rsidR="00E73A17">
        <w:noBreakHyphen/>
      </w:r>
      <w:r w:rsidRPr="007D1C70">
        <w:t>20 and this section. In screening candidates for the commission and making its findings, the oversight committee must seek to find the best qualified people by giving due consideration to:</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t>ability, dedication, compassion, common sense, and integrity of the candidates;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t>the race and gender of the candidates and other demographic factors to assure nondiscrimination to the greatest extent possible of all segments of the population of the State.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70.</w:t>
      </w:r>
      <w:r w:rsidRPr="007D1C70">
        <w:tab/>
        <w:t xml:space="preserve">The oversight committee must allocate personal service positions and other appropriations within the commission to either the commission or the Office of Regulatory </w:t>
      </w:r>
      <w:r w:rsidRPr="007D1C70">
        <w:lastRenderedPageBreak/>
        <w:t>Staff. The oversight committee must organize appropriate divisions within the commission and, as submitted by the executive director, within the Office of Regulatory Staff. 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The oversight committee</w:t>
      </w:r>
      <w:r w:rsidR="00E73A17" w:rsidRPr="00E73A17">
        <w:t>’</w:t>
      </w:r>
      <w:r w:rsidRPr="007D1C70">
        <w:t>s authority to reorganize the agencies and assign personal service positions and other appropriations supersedes any provision of law to the contrary. In effectuating the oversight committee</w:t>
      </w:r>
      <w:r w:rsidR="00E73A17" w:rsidRPr="00E73A17">
        <w:t>’</w:t>
      </w:r>
      <w:r w:rsidRPr="007D1C70">
        <w:t xml:space="preserve">s assignment of positions between agencies, the Department of Administration is directed to assign through transfer both the position and the appropriation for the position. Notwithstanding this section or any other provision of law, the Executive Director of the Office of Regulatory Staff has sole authority to select and employ personnel of the Office of Regulatory Staff. </w:t>
      </w:r>
      <w:r w:rsidR="006348C3">
        <w:t>A</w:t>
      </w:r>
      <w:r w:rsidRPr="007D1C70">
        <w:t xml:space="preserve"> commission employee whose position is transferred to the Office of Regulatory Staff is, upon application to the executive director, entitled only to due consideration for the position.”</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58 of the 1976 Code is repealed.</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000ACA" w:rsidRDefault="00000ACA"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70D63">
        <w:rPr>
          <w:color w:val="000000" w:themeColor="text1"/>
          <w:u w:color="000000" w:themeColor="text1"/>
        </w:rPr>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 of the 1976 Code, as added by Act 175 of 2004,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00E73A17" w:rsidRPr="00E73A17">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w:t>
      </w:r>
      <w:r w:rsidRPr="00C70D63">
        <w:rPr>
          <w:color w:val="000000" w:themeColor="text1"/>
          <w:u w:color="000000" w:themeColor="text1"/>
        </w:rPr>
        <w:lastRenderedPageBreak/>
        <w:t xml:space="preserve">Assembly. For purposes of this section, </w:t>
      </w:r>
      <w:r w:rsidR="00E73A17" w:rsidRPr="00E73A17">
        <w:rPr>
          <w:color w:val="000000" w:themeColor="text1"/>
          <w:u w:color="000000" w:themeColor="text1"/>
        </w:rPr>
        <w:t>‘</w:t>
      </w:r>
      <w:r w:rsidRPr="00C70D63">
        <w:rPr>
          <w:color w:val="000000" w:themeColor="text1"/>
          <w:u w:color="000000" w:themeColor="text1"/>
        </w:rPr>
        <w:t>indirectly seeking a pledge</w:t>
      </w:r>
      <w:r w:rsidR="00E73A17" w:rsidRPr="00E73A17">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sidR="00E73A17">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00E73A17" w:rsidRPr="00E73A17">
        <w:rPr>
          <w:color w:val="000000" w:themeColor="text1"/>
          <w:u w:color="000000" w:themeColor="text1"/>
        </w:rPr>
        <w:t>’</w:t>
      </w:r>
      <w:r w:rsidRPr="00C70D63">
        <w:rPr>
          <w:color w:val="000000" w:themeColor="text1"/>
          <w:u w:color="000000" w:themeColor="text1"/>
        </w:rPr>
        <w:t>s pledge to vote for a candidate for the Public Service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 xml:space="preserve">State Regulation of Public Utilities Review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545.”</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5(7)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“(7)</w:t>
      </w:r>
      <w:r w:rsidRPr="00C70D63">
        <w:rPr>
          <w:color w:val="000000" w:themeColor="text1"/>
          <w:u w:color="000000" w:themeColor="text1"/>
        </w:rPr>
        <w:tab/>
      </w:r>
      <w:r w:rsidR="00E73A17" w:rsidRPr="00E73A17">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00E73A17" w:rsidRPr="00E73A17">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lastRenderedPageBreak/>
        <w:t>SECTION</w:t>
      </w:r>
      <w:r w:rsidRPr="00C70D63">
        <w:rPr>
          <w:color w:val="000000" w:themeColor="text1"/>
          <w:u w:color="000000" w:themeColor="text1"/>
        </w:rPr>
        <w:tab/>
      </w:r>
      <w:r>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280(E)(11) of the 1976 Code, as amended by Act 181 of 2016, is further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sidR="00E73A17">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subitem, the Office of Regulatory Staff shall provide a report to the </w:t>
      </w:r>
      <w:r w:rsidRPr="00C70D63">
        <w:rPr>
          <w:strike/>
          <w:color w:val="000000" w:themeColor="text1"/>
          <w:u w:color="000000" w:themeColor="text1"/>
        </w:rPr>
        <w:t>Public Utilities Review Committee (PURC)</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t xml:space="preserve">every four years thereafter, the Office of Regulatory Staff shall provide a report to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285(G)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2689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w:t>
      </w:r>
      <w:r w:rsidRPr="00C70D63">
        <w:rPr>
          <w:color w:val="000000" w:themeColor="text1"/>
          <w:u w:color="000000" w:themeColor="text1"/>
        </w:rPr>
        <w:lastRenderedPageBreak/>
        <w:t>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27</w:t>
      </w:r>
      <w:r w:rsidR="00E73A17">
        <w:rPr>
          <w:color w:val="000000" w:themeColor="text1"/>
          <w:u w:color="000000" w:themeColor="text1"/>
        </w:rPr>
        <w:noBreakHyphen/>
      </w:r>
      <w:r w:rsidRPr="00C70D63">
        <w:rPr>
          <w:color w:val="000000" w:themeColor="text1"/>
          <w:u w:color="000000" w:themeColor="text1"/>
        </w:rPr>
        <w:t>2630(C)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9.</w:t>
      </w:r>
      <w:r>
        <w:rPr>
          <w:color w:val="000000" w:themeColor="text1"/>
          <w:u w:color="000000" w:themeColor="text1"/>
        </w:rPr>
        <w:tab/>
        <w:t xml:space="preserve">Section </w:t>
      </w:r>
      <w:r w:rsidRPr="00C70D63">
        <w:rPr>
          <w:color w:val="000000" w:themeColor="text1"/>
          <w:u w:color="000000" w:themeColor="text1"/>
        </w:rPr>
        <w:t>58</w:t>
      </w:r>
      <w:r w:rsidR="00E73A17">
        <w:rPr>
          <w:color w:val="000000" w:themeColor="text1"/>
          <w:u w:color="000000" w:themeColor="text1"/>
        </w:rPr>
        <w:noBreakHyphen/>
      </w:r>
      <w:r w:rsidRPr="00C70D63">
        <w:rPr>
          <w:color w:val="000000" w:themeColor="text1"/>
          <w:u w:color="000000" w:themeColor="text1"/>
        </w:rPr>
        <w:t>31</w:t>
      </w:r>
      <w:r w:rsidR="00E73A17">
        <w:rPr>
          <w:color w:val="000000" w:themeColor="text1"/>
          <w:u w:color="000000" w:themeColor="text1"/>
        </w:rPr>
        <w:noBreakHyphen/>
      </w:r>
      <w:r w:rsidRPr="00C70D63">
        <w:rPr>
          <w:color w:val="000000" w:themeColor="text1"/>
          <w:u w:color="000000" w:themeColor="text1"/>
        </w:rPr>
        <w:t>20(A) an</w:t>
      </w:r>
      <w:r>
        <w:rPr>
          <w:color w:val="000000" w:themeColor="text1"/>
          <w:u w:color="000000" w:themeColor="text1"/>
        </w:rPr>
        <w:t>d (B) of the 1976 Code is</w:t>
      </w:r>
      <w:r w:rsidRPr="00C70D63">
        <w:rPr>
          <w:color w:val="000000" w:themeColor="text1"/>
          <w:u w:color="000000" w:themeColor="text1"/>
        </w:rPr>
        <w:t xml:space="preserve">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E73A17" w:rsidRPr="00E73A17">
        <w:rPr>
          <w:color w:val="000000" w:themeColor="text1"/>
          <w:u w:color="000000" w:themeColor="text1"/>
        </w:rPr>
        <w:t>’</w:t>
      </w:r>
      <w:r w:rsidRPr="00C70D63">
        <w:rPr>
          <w:color w:val="000000" w:themeColor="text1"/>
          <w:u w:color="000000" w:themeColor="text1"/>
        </w:rPr>
        <w:t xml:space="preserve">s successor, with the advice and consent of the Senate, and </w:t>
      </w:r>
      <w:r w:rsidRPr="00C70D63">
        <w:rPr>
          <w:color w:val="000000" w:themeColor="text1"/>
          <w:u w:color="000000" w:themeColor="text1"/>
        </w:rPr>
        <w:lastRenderedPageBreak/>
        <w:t>the successor</w:t>
      </w:r>
      <w:r w:rsidR="00E73A17">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00ACA" w:rsidRPr="00C70D63">
        <w:rPr>
          <w:color w:val="000000" w:themeColor="text1"/>
          <w:u w:color="000000" w:themeColor="text1"/>
        </w:rPr>
        <w:tab/>
      </w:r>
      <w:r w:rsidR="00000ACA">
        <w:rPr>
          <w:color w:val="000000" w:themeColor="text1"/>
          <w:u w:color="000000" w:themeColor="text1"/>
        </w:rPr>
        <w:t>10</w:t>
      </w:r>
      <w:r w:rsidR="00000ACA" w:rsidRPr="00C70D63">
        <w:rPr>
          <w:color w:val="000000" w:themeColor="text1"/>
          <w:u w:color="000000" w:themeColor="text1"/>
        </w:rPr>
        <w:t>.</w:t>
      </w:r>
      <w:r w:rsidR="00000ACA" w:rsidRPr="00C70D63">
        <w:rPr>
          <w:color w:val="000000" w:themeColor="text1"/>
          <w:u w:color="000000" w:themeColor="text1"/>
        </w:rPr>
        <w:tab/>
        <w:t>Section 58</w:t>
      </w:r>
      <w:r w:rsidR="00E73A17">
        <w:rPr>
          <w:color w:val="000000" w:themeColor="text1"/>
          <w:u w:color="000000" w:themeColor="text1"/>
        </w:rPr>
        <w:noBreakHyphen/>
      </w:r>
      <w:r w:rsidR="00000ACA" w:rsidRPr="00C70D63">
        <w:rPr>
          <w:color w:val="000000" w:themeColor="text1"/>
          <w:u w:color="000000" w:themeColor="text1"/>
        </w:rPr>
        <w:t>39</w:t>
      </w:r>
      <w:r w:rsidR="00E73A17">
        <w:rPr>
          <w:color w:val="000000" w:themeColor="text1"/>
          <w:u w:color="000000" w:themeColor="text1"/>
        </w:rPr>
        <w:noBreakHyphen/>
      </w:r>
      <w:r w:rsidR="00000ACA" w:rsidRPr="00C70D63">
        <w:rPr>
          <w:color w:val="000000" w:themeColor="text1"/>
          <w:u w:color="000000" w:themeColor="text1"/>
        </w:rPr>
        <w:t>140</w:t>
      </w:r>
      <w:r>
        <w:rPr>
          <w:color w:val="000000" w:themeColor="text1"/>
          <w:u w:color="000000" w:themeColor="text1"/>
        </w:rPr>
        <w:t>(E)</w:t>
      </w:r>
      <w:r w:rsidR="00000ACA" w:rsidRPr="00C70D63">
        <w:rPr>
          <w:color w:val="000000" w:themeColor="text1"/>
          <w:u w:color="000000" w:themeColor="text1"/>
        </w:rPr>
        <w:t xml:space="preserve">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00195BFA">
        <w:rPr>
          <w:color w:val="000000" w:themeColor="text1"/>
          <w:u w:color="000000" w:themeColor="text1"/>
        </w:rPr>
        <w:t>“(E)</w:t>
      </w:r>
      <w:r w:rsidR="00195BFA">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195BFA"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FA" w:rsidRDefault="00195BFA" w:rsidP="00195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Pr="00535238">
        <w:rPr>
          <w:color w:val="000000" w:themeColor="text1"/>
          <w:u w:color="000000" w:themeColor="text1"/>
        </w:rPr>
        <w:tab/>
        <w:t xml:space="preserve">Upon the effective date of this act, any reference to the </w:t>
      </w:r>
      <w:r w:rsidR="00E73A17" w:rsidRPr="00E73A17">
        <w:rPr>
          <w:color w:val="000000" w:themeColor="text1"/>
          <w:u w:color="000000" w:themeColor="text1"/>
        </w:rPr>
        <w:t>‘</w:t>
      </w:r>
      <w:r w:rsidRPr="00535238">
        <w:rPr>
          <w:color w:val="000000" w:themeColor="text1"/>
          <w:u w:color="000000" w:themeColor="text1"/>
        </w:rPr>
        <w:t>State Regulation of Public Utilities Review Committee</w:t>
      </w:r>
      <w:r w:rsidR="00E73A17" w:rsidRPr="00E73A17">
        <w:rPr>
          <w:color w:val="000000" w:themeColor="text1"/>
          <w:u w:color="000000" w:themeColor="text1"/>
        </w:rPr>
        <w:t>’</w:t>
      </w:r>
      <w:r w:rsidRPr="00535238">
        <w:rPr>
          <w:color w:val="000000" w:themeColor="text1"/>
          <w:u w:color="000000" w:themeColor="text1"/>
        </w:rPr>
        <w:t xml:space="preserve"> must be construed to mean the </w:t>
      </w:r>
      <w:r w:rsidR="00E73A17" w:rsidRPr="00E73A17">
        <w:rPr>
          <w:color w:val="000000" w:themeColor="text1"/>
          <w:u w:color="000000" w:themeColor="text1"/>
        </w:rPr>
        <w:t>‘</w:t>
      </w:r>
      <w:r w:rsidRPr="00535238">
        <w:rPr>
          <w:color w:val="000000" w:themeColor="text1"/>
          <w:u w:color="000000" w:themeColor="text1"/>
        </w:rPr>
        <w:t>Utility Oversight Committee.</w:t>
      </w:r>
      <w:r w:rsidR="00E73A17" w:rsidRPr="00E73A17">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 and Effective Date</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195BFA">
        <w:rPr>
          <w:color w:val="000000" w:themeColor="text1"/>
          <w:u w:color="000000" w:themeColor="text1"/>
        </w:rPr>
        <w:t>2</w:t>
      </w:r>
      <w:r>
        <w:rPr>
          <w:color w:val="000000" w:themeColor="text1"/>
          <w:u w:color="000000" w:themeColor="text1"/>
        </w:rPr>
        <w:t>.</w:t>
      </w:r>
      <w:r w:rsidR="003F7CF5" w:rsidRPr="00535238">
        <w:rPr>
          <w:color w:val="000000" w:themeColor="text1"/>
          <w:u w:color="000000" w:themeColor="text1"/>
        </w:rPr>
        <w:tab/>
        <w:t>(A)</w:t>
      </w:r>
      <w:r w:rsidR="003F7CF5" w:rsidRPr="00535238">
        <w:rPr>
          <w:color w:val="000000" w:themeColor="text1"/>
          <w:u w:color="000000" w:themeColor="text1"/>
        </w:rPr>
        <w:tab/>
      </w:r>
      <w:r>
        <w:rPr>
          <w:color w:val="000000" w:themeColor="text1"/>
          <w:u w:color="000000" w:themeColor="text1"/>
        </w:rPr>
        <w:t>Exc</w:t>
      </w:r>
      <w:r w:rsidR="00195BFA">
        <w:rPr>
          <w:color w:val="000000" w:themeColor="text1"/>
          <w:u w:color="000000" w:themeColor="text1"/>
        </w:rPr>
        <w:t>ept as provided in subsection (B</w:t>
      </w:r>
      <w:r>
        <w:rPr>
          <w:color w:val="000000" w:themeColor="text1"/>
          <w:u w:color="000000" w:themeColor="text1"/>
        </w:rPr>
        <w:t>), t</w:t>
      </w:r>
      <w:r w:rsidR="003F7CF5">
        <w:rPr>
          <w:color w:val="000000" w:themeColor="text1"/>
          <w:u w:color="000000" w:themeColor="text1"/>
        </w:rPr>
        <w:t xml:space="preserve">his </w:t>
      </w:r>
      <w:r>
        <w:rPr>
          <w:color w:val="000000" w:themeColor="text1"/>
          <w:u w:color="000000" w:themeColor="text1"/>
        </w:rPr>
        <w:t>act</w:t>
      </w:r>
      <w:r w:rsidR="003F7CF5">
        <w:rPr>
          <w:color w:val="000000" w:themeColor="text1"/>
          <w:u w:color="000000" w:themeColor="text1"/>
        </w:rPr>
        <w:t xml:space="preserve"> takes effect </w:t>
      </w:r>
      <w:r>
        <w:rPr>
          <w:color w:val="000000" w:themeColor="text1"/>
          <w:u w:color="000000" w:themeColor="text1"/>
        </w:rPr>
        <w:t xml:space="preserve">ten days after approval </w:t>
      </w:r>
      <w:r w:rsidR="003F7CF5">
        <w:rPr>
          <w:color w:val="000000" w:themeColor="text1"/>
          <w:u w:color="000000" w:themeColor="text1"/>
        </w:rPr>
        <w:t>by the Governor.</w:t>
      </w:r>
      <w:r w:rsidR="003F7CF5" w:rsidRPr="00535238">
        <w:rPr>
          <w:color w:val="000000" w:themeColor="text1"/>
          <w:u w:color="000000" w:themeColor="text1"/>
        </w:rPr>
        <w:t xml:space="preserve">  </w:t>
      </w:r>
      <w:r w:rsidR="00195BFA">
        <w:rPr>
          <w:color w:val="000000" w:themeColor="text1"/>
          <w:u w:color="000000" w:themeColor="text1"/>
        </w:rPr>
        <w:t>T</w:t>
      </w:r>
      <w:r w:rsidR="00195BFA" w:rsidRPr="00535238">
        <w:rPr>
          <w:color w:val="000000" w:themeColor="text1"/>
          <w:u w:color="000000" w:themeColor="text1"/>
        </w:rPr>
        <w:t xml:space="preserve">he </w:t>
      </w:r>
      <w:r w:rsidR="00195BFA">
        <w:rPr>
          <w:color w:val="000000" w:themeColor="text1"/>
          <w:u w:color="000000" w:themeColor="text1"/>
        </w:rPr>
        <w:t xml:space="preserve">oversight </w:t>
      </w:r>
      <w:r w:rsidR="00195BFA" w:rsidRPr="00535238">
        <w:rPr>
          <w:color w:val="000000" w:themeColor="text1"/>
          <w:u w:color="000000" w:themeColor="text1"/>
        </w:rPr>
        <w:t>committee shall meet as soon as practicable to organize itself pursuant to Section 58</w:t>
      </w:r>
      <w:r w:rsidR="00E73A17">
        <w:rPr>
          <w:color w:val="000000" w:themeColor="text1"/>
          <w:u w:color="000000" w:themeColor="text1"/>
        </w:rPr>
        <w:noBreakHyphen/>
      </w:r>
      <w:r w:rsidR="00195BFA" w:rsidRPr="00535238">
        <w:rPr>
          <w:color w:val="000000" w:themeColor="text1"/>
          <w:u w:color="000000" w:themeColor="text1"/>
        </w:rPr>
        <w:t>3</w:t>
      </w:r>
      <w:r w:rsidR="00E73A17">
        <w:rPr>
          <w:color w:val="000000" w:themeColor="text1"/>
          <w:u w:color="000000" w:themeColor="text1"/>
        </w:rPr>
        <w:noBreakHyphen/>
      </w:r>
      <w:r w:rsidR="00195BFA">
        <w:rPr>
          <w:color w:val="000000" w:themeColor="text1"/>
          <w:u w:color="000000" w:themeColor="text1"/>
        </w:rPr>
        <w:t>620(B).</w:t>
      </w:r>
    </w:p>
    <w:p w:rsidR="00000ACA" w:rsidRPr="00535238"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5BF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sidR="00195BFA">
        <w:rPr>
          <w:color w:val="000000" w:themeColor="text1"/>
          <w:u w:color="000000" w:themeColor="text1"/>
        </w:rPr>
        <w:t>may</w:t>
      </w:r>
      <w:r w:rsidRPr="00535238">
        <w:rPr>
          <w:color w:val="000000" w:themeColor="text1"/>
          <w:u w:color="000000" w:themeColor="text1"/>
        </w:rPr>
        <w:t xml:space="preserve"> make their ap</w:t>
      </w:r>
      <w:r w:rsidR="00195BFA">
        <w:rPr>
          <w:color w:val="000000" w:themeColor="text1"/>
          <w:u w:color="000000" w:themeColor="text1"/>
        </w:rPr>
        <w:t>pointments to the oversight committee.</w:t>
      </w:r>
    </w:p>
    <w:p w:rsidR="008E64FB" w:rsidRDefault="00E73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C39" w:rsidRDefault="00EB4C39" w:rsidP="00EB4C39">
      <w:pPr>
        <w:suppressAutoHyphens/>
      </w:pPr>
    </w:p>
    <w:sectPr w:rsidR="00EB4C39" w:rsidSect="008354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442" w:rsidRDefault="00835442" w:rsidP="009F0C77">
      <w:r>
        <w:separator/>
      </w:r>
    </w:p>
  </w:endnote>
  <w:endnote w:type="continuationSeparator" w:id="0">
    <w:p w:rsidR="00835442" w:rsidRDefault="008354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8DCB3A-D4D9-4619-973C-0D470D849D6E}"/>
    <w:embedBold r:id="rId2" w:fontKey="{028A877D-A2C5-4565-953F-26C5534F360D}"/>
  </w:font>
  <w:font w:name="Calibri">
    <w:panose1 w:val="020F0502020204030204"/>
    <w:charset w:val="00"/>
    <w:family w:val="swiss"/>
    <w:pitch w:val="variable"/>
    <w:sig w:usb0="E00002FF" w:usb1="4000ACFF" w:usb2="00000001" w:usb3="00000000" w:csb0="0000019F" w:csb1="00000000"/>
    <w:embedRegular r:id="rId3" w:fontKey="{C9D9006E-F69C-4CCC-85F6-AEA2CC41F8C8}"/>
  </w:font>
  <w:font w:name="Segoe UI">
    <w:panose1 w:val="020B0502040204020203"/>
    <w:charset w:val="00"/>
    <w:family w:val="swiss"/>
    <w:pitch w:val="variable"/>
    <w:sig w:usb0="E10022FF" w:usb1="C000E47F" w:usb2="00000029" w:usb3="00000000" w:csb0="000001DF" w:csb1="00000000"/>
    <w:embedRegular r:id="rId4" w:fontKey="{931E9542-9867-4642-AA9B-017879B1B3A7}"/>
  </w:font>
  <w:font w:name="Cambria">
    <w:panose1 w:val="02040503050406030204"/>
    <w:charset w:val="00"/>
    <w:family w:val="roman"/>
    <w:pitch w:val="variable"/>
    <w:sig w:usb0="E00002FF" w:usb1="400004FF" w:usb2="00000000" w:usb3="00000000" w:csb0="0000019F" w:csb1="00000000"/>
    <w:embedRegular r:id="rId5" w:fontKey="{057F33AE-6CF7-4DBD-9F2F-595033465A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42" w:rsidRPr="00276CA5" w:rsidRDefault="00835442" w:rsidP="00276CA5">
    <w:pPr>
      <w:pStyle w:val="Footer"/>
      <w:tabs>
        <w:tab w:val="clear" w:pos="4680"/>
        <w:tab w:val="clear" w:pos="9360"/>
        <w:tab w:val="center" w:pos="2995"/>
      </w:tabs>
      <w:spacing w:before="120"/>
    </w:pPr>
    <w:r>
      <w:t>[4378-</w:t>
    </w:r>
    <w:r>
      <w:fldChar w:fldCharType="begin"/>
    </w:r>
    <w:r>
      <w:instrText xml:space="preserve"> PAGE  \* MERGEFORMAT </w:instrText>
    </w:r>
    <w:r>
      <w:fldChar w:fldCharType="separate"/>
    </w:r>
    <w:r w:rsidR="00EB4C3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42" w:rsidRPr="00276CA5" w:rsidRDefault="00835442" w:rsidP="00276CA5">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sidR="00EB4C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442" w:rsidRDefault="00835442" w:rsidP="009F0C77">
      <w:r>
        <w:separator/>
      </w:r>
    </w:p>
  </w:footnote>
  <w:footnote w:type="continuationSeparator" w:id="0">
    <w:p w:rsidR="00835442" w:rsidRDefault="008354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5DG18"/>
    <w:docVar w:name="CoverBillType" w:val="b"/>
    <w:docVar w:name="DocPath" w:val="L:\Council\bills\BBM\9705DG18.DOCX"/>
    <w:docVar w:name="dvBillNumber" w:val="4378"/>
    <w:docVar w:name="dvBillNumberPrefix" w:val="H. "/>
    <w:docVar w:name="dvOriginalBody" w:val="House"/>
    <w:docVar w:name="dvSteno" w:val="BBM"/>
    <w:docVar w:name="NameofBody" w:val="h"/>
    <w:docVar w:name="vGroup2" w:val="Council"/>
  </w:docVars>
  <w:rsids>
    <w:rsidRoot w:val="001004D4"/>
    <w:rsid w:val="00000ACA"/>
    <w:rsid w:val="0000344F"/>
    <w:rsid w:val="00011869"/>
    <w:rsid w:val="00015CD6"/>
    <w:rsid w:val="00045106"/>
    <w:rsid w:val="000E0100"/>
    <w:rsid w:val="000E1785"/>
    <w:rsid w:val="000F40FA"/>
    <w:rsid w:val="001004D4"/>
    <w:rsid w:val="001035F1"/>
    <w:rsid w:val="0010776B"/>
    <w:rsid w:val="00133E66"/>
    <w:rsid w:val="001435A3"/>
    <w:rsid w:val="00146ED3"/>
    <w:rsid w:val="00151044"/>
    <w:rsid w:val="00195BFA"/>
    <w:rsid w:val="001D08F2"/>
    <w:rsid w:val="001D3A58"/>
    <w:rsid w:val="001D525B"/>
    <w:rsid w:val="001D7F4F"/>
    <w:rsid w:val="00205238"/>
    <w:rsid w:val="002321B6"/>
    <w:rsid w:val="00233DDF"/>
    <w:rsid w:val="00250967"/>
    <w:rsid w:val="002543C8"/>
    <w:rsid w:val="0025541D"/>
    <w:rsid w:val="00276CA5"/>
    <w:rsid w:val="00284AAE"/>
    <w:rsid w:val="002E5912"/>
    <w:rsid w:val="00301B21"/>
    <w:rsid w:val="00325348"/>
    <w:rsid w:val="0032732C"/>
    <w:rsid w:val="00336AD0"/>
    <w:rsid w:val="0037079A"/>
    <w:rsid w:val="003C4DAB"/>
    <w:rsid w:val="003D01E8"/>
    <w:rsid w:val="003E5288"/>
    <w:rsid w:val="003F6D79"/>
    <w:rsid w:val="003F7CF5"/>
    <w:rsid w:val="0041760A"/>
    <w:rsid w:val="00417C01"/>
    <w:rsid w:val="004403BD"/>
    <w:rsid w:val="0045041E"/>
    <w:rsid w:val="00461441"/>
    <w:rsid w:val="004809EE"/>
    <w:rsid w:val="004E7D54"/>
    <w:rsid w:val="005273C6"/>
    <w:rsid w:val="00530A69"/>
    <w:rsid w:val="00545593"/>
    <w:rsid w:val="00556EBF"/>
    <w:rsid w:val="00577C6C"/>
    <w:rsid w:val="0059545D"/>
    <w:rsid w:val="005A62FE"/>
    <w:rsid w:val="005C2FE2"/>
    <w:rsid w:val="005E2BC9"/>
    <w:rsid w:val="00605102"/>
    <w:rsid w:val="006215AA"/>
    <w:rsid w:val="006348C3"/>
    <w:rsid w:val="00680D65"/>
    <w:rsid w:val="006913C9"/>
    <w:rsid w:val="0069470D"/>
    <w:rsid w:val="006D58AA"/>
    <w:rsid w:val="00734F00"/>
    <w:rsid w:val="00772A13"/>
    <w:rsid w:val="007A70AE"/>
    <w:rsid w:val="00835442"/>
    <w:rsid w:val="008362E8"/>
    <w:rsid w:val="00847DF8"/>
    <w:rsid w:val="0085786E"/>
    <w:rsid w:val="008A1768"/>
    <w:rsid w:val="008A489F"/>
    <w:rsid w:val="008E64F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F2F"/>
    <w:rsid w:val="00BE3C22"/>
    <w:rsid w:val="00C0345E"/>
    <w:rsid w:val="00C31C95"/>
    <w:rsid w:val="00C3483A"/>
    <w:rsid w:val="00C74E9D"/>
    <w:rsid w:val="00C76C65"/>
    <w:rsid w:val="00C826DD"/>
    <w:rsid w:val="00C82FD3"/>
    <w:rsid w:val="00C90A95"/>
    <w:rsid w:val="00C92819"/>
    <w:rsid w:val="00CC6B7B"/>
    <w:rsid w:val="00CD2089"/>
    <w:rsid w:val="00D73A67"/>
    <w:rsid w:val="00D970A9"/>
    <w:rsid w:val="00DF3845"/>
    <w:rsid w:val="00E41911"/>
    <w:rsid w:val="00E44B57"/>
    <w:rsid w:val="00E73A17"/>
    <w:rsid w:val="00E8366B"/>
    <w:rsid w:val="00E92EEF"/>
    <w:rsid w:val="00EB4C39"/>
    <w:rsid w:val="00EF2368"/>
    <w:rsid w:val="00F03F92"/>
    <w:rsid w:val="00F24442"/>
    <w:rsid w:val="00F40B46"/>
    <w:rsid w:val="00F50AE3"/>
    <w:rsid w:val="00F655B7"/>
    <w:rsid w:val="00F656BA"/>
    <w:rsid w:val="00F67CF1"/>
    <w:rsid w:val="00F728AA"/>
    <w:rsid w:val="00F840F0"/>
    <w:rsid w:val="00FA1B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23E20-06BF-4A36-9F80-AA69E736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D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39636-32BB-481E-BEDD-54AE1835E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CA7C129E</Template>
  <TotalTime>0</TotalTime>
  <Pages>13</Pages>
  <Words>4298</Words>
  <Characters>22816</Characters>
  <Application>Microsoft Office Word</Application>
  <DocSecurity>0</DocSecurity>
  <Lines>531</Lines>
  <Paragraphs>103</Paragraphs>
  <ScaleCrop>false</ScaleCrop>
  <HeadingPairs>
    <vt:vector size="2" baseType="variant">
      <vt:variant>
        <vt:lpstr>Title</vt:lpstr>
      </vt:variant>
      <vt:variant>
        <vt:i4>1</vt:i4>
      </vt:variant>
    </vt:vector>
  </HeadingPairs>
  <TitlesOfParts>
    <vt:vector size="1" baseType="lpstr">
      <vt:lpstr>2017-2018 Bill 4378: Subject not yet available - South Carolina Legislature Online</vt:lpstr>
    </vt:vector>
  </TitlesOfParts>
  <Company>LPITS</Company>
  <LinksUpToDate>false</LinksUpToDate>
  <CharactersWithSpaces>27133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4378 Text of Previous Version (Jan. 10, 2018) - South Carolina Legislature Online</dc:title>
  <dc:creator>angiemorgan</dc:creator>
  <cp:lastModifiedBy>Warren Wilson</cp:lastModifiedBy>
  <cp:revision>2</cp:revision>
  <cp:lastPrinted>2018-01-10T21:40:00Z</cp:lastPrinted>
  <dcterms:created xsi:type="dcterms:W3CDTF">2018-01-10T22:59:00Z</dcterms:created>
  <dcterms:modified xsi:type="dcterms:W3CDTF">2018-01-10T22:59:00Z</dcterms:modified>
</cp:coreProperties>
</file>