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179"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60A6" w:rsidRP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Pr="003C60A6" w:rsidRDefault="003C60A6" w:rsidP="003C60A6">
      <w:pPr>
        <w:tabs>
          <w:tab w:val="right" w:pos="5933"/>
        </w:tabs>
        <w:suppressAutoHyphens/>
      </w:pPr>
      <w:r>
        <w:tab/>
      </w:r>
      <w:r>
        <w:rPr>
          <w:b/>
          <w:sz w:val="36"/>
        </w:rPr>
        <w:t>H. 4496</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Burns, Toole, Long, Chumley, Magnuson and McCravy</w:t>
      </w: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3C60A6" w:rsidRP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Default="003C60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60A6" w:rsidSect="00AF01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631F" w:rsidRDefault="001F6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6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64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3CD" w:rsidRDefault="00BE03CD" w:rsidP="00BE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6</w:t>
      </w:r>
      <w:r w:rsidR="00F86431">
        <w:noBreakHyphen/>
      </w:r>
      <w:r>
        <w:t>1</w:t>
      </w:r>
      <w:r w:rsidR="00F86431">
        <w:noBreakHyphen/>
      </w:r>
      <w:r>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rsidR="00F86431">
        <w:noBreakHyphen/>
      </w:r>
      <w:r>
        <w:t>13</w:t>
      </w:r>
      <w:r w:rsidR="00F86431">
        <w:noBreakHyphen/>
      </w:r>
      <w:r>
        <w:t>170 AND 23</w:t>
      </w:r>
      <w:r w:rsidR="00F86431">
        <w:noBreakHyphen/>
      </w:r>
      <w:r>
        <w:t>3</w:t>
      </w:r>
      <w:r w:rsidR="00F86431">
        <w:noBreakHyphen/>
      </w:r>
      <w:r>
        <w:t xml:space="preserve">1100; TO DESIGNATE THIS REPORT THE “IMMIGRATION COMPLIANCE REPORT” (ICR); TO DELINEATE SPECIFIC DUTIES AND RESPONSIBILITIES RELATING TO THE SUBMISSION OF DOCUMENTATION NECESSARY TO PREPARE THE ICR; TO REQUIRE SLED </w:t>
      </w:r>
      <w:r w:rsidR="00623814">
        <w:t xml:space="preserve">ANNUALLY </w:t>
      </w:r>
      <w:r>
        <w:t>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w:t>
      </w:r>
      <w:r w:rsidR="00D95F9A">
        <w:t>UBDIVISION</w:t>
      </w:r>
      <w:r>
        <w:t xml:space="preserve">S THAT HAVE BEEN FOUND TO HAVE SUBMITTED FALSIFIED COMPLIANCE DOCUMENTATION TO SLED; TO DEFINE “POLITICAL SUBDIVISION”, AND TO PROVIDE THAT THE SANCTIONS AND REMEDIES DELINEATED IN THIS ACT ARE IN ADDITION TO OTHER SANCTIONS </w:t>
      </w:r>
      <w:r w:rsidR="00623814">
        <w:t>AND REMEDIES PROVIDED BY LAW.</w:t>
      </w:r>
      <w:bookmarkEnd w:id="1"/>
    </w:p>
    <w:p w:rsidR="0010776B" w:rsidRDefault="003C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60A6" w:rsidRDefault="003C60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4AD" w:rsidRDefault="00D064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lastRenderedPageBreak/>
        <w:t>SECTION</w:t>
      </w:r>
      <w:r w:rsidRPr="005B576F">
        <w:tab/>
        <w:t>1.</w:t>
      </w:r>
      <w:r w:rsidRPr="005B576F">
        <w:tab/>
      </w:r>
      <w:bookmarkStart w:id="5" w:name="temp"/>
      <w:bookmarkEnd w:id="5"/>
      <w:r w:rsidRPr="005B576F">
        <w:t>Section 6</w:t>
      </w:r>
      <w:r w:rsidRPr="005B576F">
        <w:noBreakHyphen/>
        <w:t>1</w:t>
      </w:r>
      <w:r w:rsidRPr="005B576F">
        <w:noBreakHyphen/>
        <w:t>170(E) of the 1976 Code is amended to read:</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“(E)(1)</w:t>
      </w:r>
      <w:r w:rsidRPr="005B576F">
        <w:tab/>
        <w:t>Notwithstanding any other provision of law, a resident of a political subdivision in this State</w:t>
      </w:r>
      <w:r w:rsidRPr="005B576F">
        <w:rPr>
          <w:u w:val="single"/>
        </w:rPr>
        <w:t>, the Attorney General, or both,</w:t>
      </w:r>
      <w:r w:rsidRPr="005B576F">
        <w:t xml:space="preserve"> may bring a civil action in the circuit court in which the resident and political subdivision are located to enjoin:</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(a)</w:t>
      </w:r>
      <w:r w:rsidRPr="005B576F">
        <w:tab/>
        <w:t>an enactment by the political subdivision of any ordinance or policy that intentionally limits or prohibits a law enforcement officer, local official, or local government employee from seeking to enforce a state law with regard to immigration;</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(b)</w:t>
      </w:r>
      <w:r w:rsidRPr="005B576F">
        <w:tab/>
        <w:t>an enactment by the political subdivision of any ordinance or policy that intentionally limits or prohibits a law enforcement officer, local official, or local government employee from communicating to appropriate federal or state officials regarding the immigration status of a person within this State; or</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(c)</w:t>
      </w:r>
      <w:r w:rsidRPr="005B576F">
        <w:tab/>
        <w:t>an enactment by the political subdivision of any ordinance, policy, regulation, or other legislation pertaining to the employment, licensing, permitting, or otherwise doing business with a person based upon that person’s authorization to work in the United States, which intentionally exceeds or conflicts with federal law or that intentionally conflicts with state law.</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t>(2)</w:t>
      </w:r>
      <w:r w:rsidRPr="005B576F">
        <w:tab/>
        <w:t>A person who is not a resident of the political subdivision may not bring an action against the political subdivision pursuant to this subsection. The action must be brought against the political subdivision and not against an employee of the political subdivision acting in the employee’s individual capacity.</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576F">
        <w:tab/>
      </w:r>
      <w:r w:rsidRPr="005B576F">
        <w:tab/>
        <w:t>(3)</w:t>
      </w:r>
      <w:r w:rsidRPr="005B576F">
        <w:tab/>
        <w:t>If the court finds that the political subdivision has intentionally violated this section</w:t>
      </w:r>
      <w:r w:rsidRPr="005B576F">
        <w:rPr>
          <w:strike/>
        </w:rPr>
        <w:t>,</w:t>
      </w:r>
      <w:r w:rsidRPr="005B576F">
        <w:rPr>
          <w:u w:val="single"/>
        </w:rPr>
        <w:t>:</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576F">
        <w:tab/>
      </w:r>
      <w:r w:rsidRPr="005B576F">
        <w:tab/>
      </w:r>
      <w:r w:rsidRPr="005B576F">
        <w:tab/>
      </w:r>
      <w:r w:rsidRPr="005B576F">
        <w:rPr>
          <w:u w:val="single"/>
        </w:rPr>
        <w:t>(a)</w:t>
      </w:r>
      <w:r w:rsidRPr="005B576F">
        <w:tab/>
        <w:t>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w:t>
      </w:r>
      <w:r w:rsidRPr="005B576F">
        <w:rPr>
          <w:strike/>
        </w:rPr>
        <w:t>.</w:t>
      </w:r>
      <w:r w:rsidRPr="005B576F">
        <w:rPr>
          <w:u w:val="single"/>
        </w:rPr>
        <w:t>; provided,</w:t>
      </w:r>
      <w:r w:rsidRPr="005B576F">
        <w:t xml:space="preserve"> the proceeds from any such judgment must be used to reimburse the resident’s reasonable attorney’s fees</w:t>
      </w:r>
      <w:r w:rsidRPr="005B576F">
        <w:rPr>
          <w:strike/>
        </w:rPr>
        <w:t>.</w:t>
      </w:r>
      <w:r w:rsidRPr="005B576F">
        <w:t xml:space="preserve"> </w:t>
      </w:r>
      <w:r w:rsidRPr="005B576F">
        <w:rPr>
          <w:u w:val="single"/>
        </w:rPr>
        <w:t>and</w:t>
      </w:r>
      <w:r w:rsidRPr="005B576F">
        <w:t xml:space="preserve"> any remaining proceeds must be used to cover the administrative costs of implementing, investigating, and enforcing the provisions of Chapter 8, Title 41</w:t>
      </w:r>
      <w:r w:rsidRPr="005B576F">
        <w:rPr>
          <w:u w:val="single"/>
        </w:rPr>
        <w:t>; and</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r>
      <w:r w:rsidRPr="005B576F">
        <w:rPr>
          <w:u w:val="single"/>
        </w:rPr>
        <w:t>(b)</w:t>
      </w:r>
      <w:r w:rsidRPr="005B576F">
        <w:tab/>
      </w:r>
      <w:r w:rsidRPr="005B576F">
        <w:rPr>
          <w:u w:val="single"/>
        </w:rPr>
        <w:t>the political subdivision may not receive Local Government Fund appropriations for a minimum of three consecutive fiscal budget years after the finding is made</w:t>
      </w:r>
      <w:r w:rsidRPr="005B576F">
        <w:t>.”</w:t>
      </w: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lastRenderedPageBreak/>
        <w:t>SECTION</w:t>
      </w:r>
      <w:r w:rsidRPr="005B576F">
        <w:tab/>
        <w:t>2.</w:t>
      </w:r>
      <w:r w:rsidRPr="005B576F">
        <w:tab/>
        <w:t>Section 17</w:t>
      </w:r>
      <w:r w:rsidRPr="005B576F">
        <w:noBreakHyphen/>
        <w:t>13</w:t>
      </w:r>
      <w:r w:rsidRPr="005B576F">
        <w:noBreakHyphen/>
        <w:t>170(E) of the 1976 Code is amended to read:</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“(E)</w:t>
      </w:r>
      <w:r w:rsidRPr="005B576F">
        <w:rPr>
          <w:u w:val="single"/>
        </w:rPr>
        <w:t>(1)</w:t>
      </w:r>
      <w:r w:rsidRPr="005B576F">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1</w:t>
      </w:r>
      <w:r w:rsidRPr="005B576F">
        <w:rPr>
          <w:u w:val="single"/>
        </w:rPr>
        <w:t>a</w:t>
      </w:r>
      <w:r w:rsidRPr="005B576F">
        <w:t>)</w:t>
      </w:r>
      <w:r w:rsidRPr="005B576F">
        <w:tab/>
        <w:t>determining eligibility for any public benefit, service, or license provided by the federal government, this State, or a political subdivision of this State;</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2</w:t>
      </w:r>
      <w:r w:rsidRPr="005B576F">
        <w:rPr>
          <w:u w:val="single"/>
        </w:rPr>
        <w:t>b</w:t>
      </w:r>
      <w:r w:rsidRPr="005B576F">
        <w:t>)</w:t>
      </w:r>
      <w:r w:rsidRPr="005B576F">
        <w:tab/>
      </w:r>
      <w:r w:rsidRPr="005B576F">
        <w:tab/>
        <w:t>verifying any claim of residence or domicile, if determination of residence or domicile is required under the laws of this State or a judicial order issued pursuant to a civil or criminal proceeding in this State;</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3</w:t>
      </w:r>
      <w:r w:rsidRPr="005B576F">
        <w:rPr>
          <w:u w:val="single"/>
        </w:rPr>
        <w:t>c</w:t>
      </w:r>
      <w:r w:rsidRPr="005B576F">
        <w:t>)</w:t>
      </w:r>
      <w:r w:rsidRPr="005B576F">
        <w:tab/>
        <w:t>determining whether an alien is in compliance with the federal registration laws prescribed by Chapter 7, Title II of the federal Immigration and Nationality Act; or</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tab/>
        <w:t>(</w:t>
      </w:r>
      <w:r w:rsidRPr="005B576F">
        <w:rPr>
          <w:strike/>
        </w:rPr>
        <w:t>4</w:t>
      </w:r>
      <w:r w:rsidRPr="005B576F">
        <w:rPr>
          <w:u w:val="single"/>
        </w:rPr>
        <w:t>d</w:t>
      </w:r>
      <w:r w:rsidRPr="005B576F">
        <w:t>)</w:t>
      </w:r>
      <w:r w:rsidRPr="005B576F">
        <w:tab/>
        <w:t>pursuant to 8 U.S.C. Section 1373 and 8 U.S.C. Section 1644.</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r>
      <w:r w:rsidRPr="005B576F">
        <w:tab/>
      </w:r>
      <w:r w:rsidRPr="005B576F">
        <w:rPr>
          <w:u w:val="single"/>
        </w:rPr>
        <w:t>(2)</w:t>
      </w:r>
      <w:r w:rsidRPr="005B576F">
        <w:tab/>
      </w:r>
      <w:r w:rsidRPr="005B576F">
        <w:rPr>
          <w:u w:val="single"/>
        </w:rPr>
        <w:t>A political subdivision that pursuant to Section 6</w:t>
      </w:r>
      <w:r w:rsidRPr="005B576F">
        <w:rPr>
          <w:u w:val="single"/>
        </w:rPr>
        <w:noBreakHyphen/>
        <w:t>1</w:t>
      </w:r>
      <w:r w:rsidRPr="005B576F">
        <w:rPr>
          <w:u w:val="single"/>
        </w:rPr>
        <w:noBreakHyphen/>
        <w:t>170(E) has been afforded due process and found by a court to have violated the provisions of this section may not receive Local Government Fund appropriations for a minimum of three consecutive fiscal budget years after the finding is made.</w:t>
      </w:r>
      <w:r w:rsidRPr="005B576F">
        <w:t>”</w:t>
      </w: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SECTION</w:t>
      </w:r>
      <w:r w:rsidRPr="005B576F">
        <w:tab/>
        <w:t>3.</w:t>
      </w:r>
      <w:r w:rsidRPr="005B576F">
        <w:tab/>
        <w:t>Section 23</w:t>
      </w:r>
      <w:r w:rsidRPr="005B576F">
        <w:noBreakHyphen/>
        <w:t>2</w:t>
      </w:r>
      <w:r w:rsidRPr="005B576F">
        <w:noBreakHyphen/>
        <w:t>1100 of the 1976 Code is amended by adding a subsection at the end to read:</w:t>
      </w: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0A6" w:rsidRPr="005B576F"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ab/>
        <w:t>“(  )</w:t>
      </w:r>
      <w:r w:rsidRPr="005B576F">
        <w:tab/>
        <w:t>A political subdivision that pursuant to Section 6</w:t>
      </w:r>
      <w:r w:rsidRPr="005B576F">
        <w:noBreakHyphen/>
        <w:t>1</w:t>
      </w:r>
      <w:r w:rsidRPr="005B576F">
        <w:noBreakHyphen/>
        <w:t>170(E) has been afforded due process and found by a court to have violated the provisions of this section may not receive Local Government Fund appropriations for a minimum of three consecutive fiscal budget years after the finding is made.”</w:t>
      </w:r>
    </w:p>
    <w:p w:rsidR="003C60A6"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3CD" w:rsidRDefault="003C60A6" w:rsidP="003C6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576F">
        <w:t>SECTION</w:t>
      </w:r>
      <w:r w:rsidRPr="005B576F">
        <w:tab/>
        <w:t>4.</w:t>
      </w:r>
      <w:r w:rsidRPr="005B576F">
        <w:tab/>
        <w:t>This act takes effect upon approval by the Governor.</w:t>
      </w:r>
    </w:p>
    <w:p w:rsidR="00D06D5A" w:rsidRDefault="00F86431" w:rsidP="00D9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335" w:rsidRDefault="00D14335" w:rsidP="00D14335">
      <w:pPr>
        <w:suppressAutoHyphens/>
      </w:pPr>
    </w:p>
    <w:sectPr w:rsidR="00D14335" w:rsidSect="00AF01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05B" w:rsidRDefault="003B705B" w:rsidP="009F0C77">
      <w:r>
        <w:separator/>
      </w:r>
    </w:p>
  </w:endnote>
  <w:endnote w:type="continuationSeparator" w:id="0">
    <w:p w:rsidR="003B705B" w:rsidRDefault="003B70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1C4B97-197E-4C29-9B5C-A6CFCE6DE835}"/>
    <w:embedBold r:id="rId2" w:fontKey="{38B85E13-6505-430D-AC09-3892CC2371EA}"/>
  </w:font>
  <w:font w:name="Calibri">
    <w:panose1 w:val="020F0502020204030204"/>
    <w:charset w:val="00"/>
    <w:family w:val="swiss"/>
    <w:pitch w:val="variable"/>
    <w:sig w:usb0="E00002FF" w:usb1="4000ACFF" w:usb2="00000001" w:usb3="00000000" w:csb0="0000019F" w:csb1="00000000"/>
    <w:embedRegular r:id="rId3" w:fontKey="{2508E130-4596-466C-9BE8-6779CA34DA85}"/>
  </w:font>
  <w:font w:name="Segoe UI">
    <w:panose1 w:val="020B0502040204020203"/>
    <w:charset w:val="00"/>
    <w:family w:val="swiss"/>
    <w:pitch w:val="variable"/>
    <w:sig w:usb0="E10022FF" w:usb1="C000E47F" w:usb2="00000029" w:usb3="00000000" w:csb0="000001DF" w:csb1="00000000"/>
    <w:embedRegular r:id="rId4" w:fontKey="{6B0FADAF-EA84-4C4E-AA18-E10F22997C6B}"/>
  </w:font>
  <w:font w:name="Cambria">
    <w:panose1 w:val="02040503050406030204"/>
    <w:charset w:val="00"/>
    <w:family w:val="roman"/>
    <w:pitch w:val="variable"/>
    <w:sig w:usb0="E00002FF" w:usb1="400004FF" w:usb2="00000000" w:usb3="00000000" w:csb0="0000019F" w:csb1="00000000"/>
    <w:embedRegular r:id="rId5" w:fontKey="{FE654465-4AFB-46BA-8B8D-5D296E3388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5A" w:rsidRPr="001F631F" w:rsidRDefault="001F631F" w:rsidP="001F631F">
    <w:pPr>
      <w:pStyle w:val="Footer"/>
      <w:tabs>
        <w:tab w:val="clear" w:pos="4680"/>
        <w:tab w:val="clear" w:pos="9360"/>
        <w:tab w:val="center" w:pos="2995"/>
      </w:tabs>
      <w:spacing w:before="120"/>
    </w:pPr>
    <w:r>
      <w:t>[4496</w:t>
    </w:r>
    <w:r w:rsidR="00AF0179">
      <w:t>-</w:t>
    </w:r>
    <w:r w:rsidR="00AF0179">
      <w:fldChar w:fldCharType="begin"/>
    </w:r>
    <w:r w:rsidR="00AF0179">
      <w:instrText xml:space="preserve"> PAGE  \* MERGEFORMAT </w:instrText>
    </w:r>
    <w:r w:rsidR="00AF0179">
      <w:fldChar w:fldCharType="separate"/>
    </w:r>
    <w:r w:rsidR="001755B3">
      <w:rPr>
        <w:noProof/>
      </w:rPr>
      <w:t>1</w:t>
    </w:r>
    <w:r w:rsidR="00AF0179">
      <w:fldChar w:fldCharType="end"/>
    </w:r>
    <w:r w:rsidR="00AF017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179" w:rsidRPr="001F631F" w:rsidRDefault="00AF0179" w:rsidP="001F631F">
    <w:pPr>
      <w:pStyle w:val="Footer"/>
      <w:tabs>
        <w:tab w:val="clear" w:pos="4680"/>
        <w:tab w:val="clear" w:pos="9360"/>
        <w:tab w:val="center" w:pos="2995"/>
      </w:tabs>
      <w:spacing w:before="120"/>
    </w:pPr>
    <w:r>
      <w:t>[4496]</w:t>
    </w:r>
    <w:r>
      <w:tab/>
    </w:r>
    <w:r>
      <w:fldChar w:fldCharType="begin"/>
    </w:r>
    <w:r>
      <w:instrText xml:space="preserve"> PAGE  \* MERGEFORMAT </w:instrText>
    </w:r>
    <w:r>
      <w:fldChar w:fldCharType="separate"/>
    </w:r>
    <w:r w:rsidR="00D143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05B" w:rsidRDefault="003B705B" w:rsidP="009F0C77">
      <w:r>
        <w:separator/>
      </w:r>
    </w:p>
  </w:footnote>
  <w:footnote w:type="continuationSeparator" w:id="0">
    <w:p w:rsidR="003B705B" w:rsidRDefault="003B70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8ZW18"/>
    <w:docVar w:name="CoverBillType" w:val="b"/>
    <w:docVar w:name="DocPath" w:val="L:\Council\bills\GGS\22028ZW18.DOCX"/>
    <w:docVar w:name="dvBillNumber" w:val="4496"/>
    <w:docVar w:name="dvBillNumberPrefix" w:val="H. "/>
    <w:docVar w:name="dvOriginalBody" w:val="House"/>
    <w:docVar w:name="dvSteno" w:val="GGS"/>
    <w:docVar w:name="NameofBody" w:val="h"/>
    <w:docVar w:name="vGroup2" w:val="Council"/>
  </w:docVars>
  <w:rsids>
    <w:rsidRoot w:val="00D064AD"/>
    <w:rsid w:val="00011869"/>
    <w:rsid w:val="00015CD6"/>
    <w:rsid w:val="000E0100"/>
    <w:rsid w:val="000E1785"/>
    <w:rsid w:val="000F40FA"/>
    <w:rsid w:val="001035F1"/>
    <w:rsid w:val="0010776B"/>
    <w:rsid w:val="00133E66"/>
    <w:rsid w:val="001435A3"/>
    <w:rsid w:val="00146ED3"/>
    <w:rsid w:val="00151044"/>
    <w:rsid w:val="001755B3"/>
    <w:rsid w:val="001D08F2"/>
    <w:rsid w:val="001D3A58"/>
    <w:rsid w:val="001D525B"/>
    <w:rsid w:val="001D7F4F"/>
    <w:rsid w:val="001F631F"/>
    <w:rsid w:val="00205238"/>
    <w:rsid w:val="002321B6"/>
    <w:rsid w:val="00250967"/>
    <w:rsid w:val="002543C8"/>
    <w:rsid w:val="0025541D"/>
    <w:rsid w:val="00284AAE"/>
    <w:rsid w:val="002E5912"/>
    <w:rsid w:val="00301B21"/>
    <w:rsid w:val="00305464"/>
    <w:rsid w:val="00325348"/>
    <w:rsid w:val="0032732C"/>
    <w:rsid w:val="00336AD0"/>
    <w:rsid w:val="0037079A"/>
    <w:rsid w:val="003B705B"/>
    <w:rsid w:val="003C4DAB"/>
    <w:rsid w:val="003C60A6"/>
    <w:rsid w:val="003D01E8"/>
    <w:rsid w:val="003E5288"/>
    <w:rsid w:val="003F6D79"/>
    <w:rsid w:val="0041760A"/>
    <w:rsid w:val="00417C01"/>
    <w:rsid w:val="004403BD"/>
    <w:rsid w:val="00461441"/>
    <w:rsid w:val="004809EE"/>
    <w:rsid w:val="004E3EC5"/>
    <w:rsid w:val="004E7D54"/>
    <w:rsid w:val="004F2114"/>
    <w:rsid w:val="005273C6"/>
    <w:rsid w:val="00530A69"/>
    <w:rsid w:val="00545593"/>
    <w:rsid w:val="00556EBF"/>
    <w:rsid w:val="00577C6C"/>
    <w:rsid w:val="005A62FE"/>
    <w:rsid w:val="005C2FE2"/>
    <w:rsid w:val="005E089D"/>
    <w:rsid w:val="005E2BC9"/>
    <w:rsid w:val="00605102"/>
    <w:rsid w:val="006215AA"/>
    <w:rsid w:val="0062381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179"/>
    <w:rsid w:val="00B412D4"/>
    <w:rsid w:val="00BE03CD"/>
    <w:rsid w:val="00BE3C22"/>
    <w:rsid w:val="00C0345E"/>
    <w:rsid w:val="00C31C95"/>
    <w:rsid w:val="00C3483A"/>
    <w:rsid w:val="00C74E9D"/>
    <w:rsid w:val="00C826DD"/>
    <w:rsid w:val="00C82FD3"/>
    <w:rsid w:val="00C92819"/>
    <w:rsid w:val="00CC6B7B"/>
    <w:rsid w:val="00CD2089"/>
    <w:rsid w:val="00D064AD"/>
    <w:rsid w:val="00D06D5A"/>
    <w:rsid w:val="00D14335"/>
    <w:rsid w:val="00D73A67"/>
    <w:rsid w:val="00D77D1A"/>
    <w:rsid w:val="00D85901"/>
    <w:rsid w:val="00D90147"/>
    <w:rsid w:val="00D95F9A"/>
    <w:rsid w:val="00D970A9"/>
    <w:rsid w:val="00DF3845"/>
    <w:rsid w:val="00DF64E4"/>
    <w:rsid w:val="00E41911"/>
    <w:rsid w:val="00E44B57"/>
    <w:rsid w:val="00E92EEF"/>
    <w:rsid w:val="00EF2368"/>
    <w:rsid w:val="00F24442"/>
    <w:rsid w:val="00F50AE3"/>
    <w:rsid w:val="00F655B7"/>
    <w:rsid w:val="00F656BA"/>
    <w:rsid w:val="00F65C33"/>
    <w:rsid w:val="00F67CF1"/>
    <w:rsid w:val="00F728AA"/>
    <w:rsid w:val="00F840F0"/>
    <w:rsid w:val="00F864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71B478-2227-4B34-A350-BF3307F59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D1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900F-C6D7-47FA-93FC-22978C20B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A3DCDAA3.dotm</Template>
  <TotalTime>0</TotalTime>
  <Pages>4</Pages>
  <Words>889</Words>
  <Characters>4813</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4496 Text of Previous Version (Apr. 18, 2018) - South Carolina Legislature Online</dc:title>
  <dc:creator>GloriaShackelford</dc:creator>
  <cp:lastModifiedBy>Lavarres Lynch</cp:lastModifiedBy>
  <cp:revision>2</cp:revision>
  <cp:lastPrinted>2017-12-13T15:11:00Z</cp:lastPrinted>
  <dcterms:created xsi:type="dcterms:W3CDTF">2018-04-18T23:03:00Z</dcterms:created>
  <dcterms:modified xsi:type="dcterms:W3CDTF">2018-04-18T23:03:00Z</dcterms:modified>
</cp:coreProperties>
</file>