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58C2" w:rsidRDefault="00B565C6" w:rsidP="00465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B565C6" w:rsidRDefault="00B565C6" w:rsidP="00465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8, 2018</w:t>
      </w:r>
    </w:p>
    <w:p w:rsidR="00B565C6" w:rsidRDefault="00B565C6" w:rsidP="00465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65C6" w:rsidRPr="00B565C6" w:rsidRDefault="00B565C6" w:rsidP="00B565C6">
      <w:pPr>
        <w:tabs>
          <w:tab w:val="right" w:pos="5933"/>
        </w:tabs>
        <w:suppressAutoHyphens/>
      </w:pPr>
      <w:r>
        <w:tab/>
      </w:r>
      <w:r>
        <w:rPr>
          <w:b/>
          <w:sz w:val="36"/>
        </w:rPr>
        <w:t>H. 4889</w:t>
      </w:r>
    </w:p>
    <w:p w:rsidR="00B565C6" w:rsidRDefault="00B565C6" w:rsidP="00465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65C6" w:rsidRDefault="00B565C6" w:rsidP="00B56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07FED">
        <w:t>Reps. Delleney and D.C. Moss</w:t>
      </w:r>
    </w:p>
    <w:p w:rsidR="00B565C6" w:rsidRDefault="00B565C6" w:rsidP="00465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65C6" w:rsidRDefault="00B565C6" w:rsidP="00465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3/8/18--H.</w:t>
      </w:r>
    </w:p>
    <w:p w:rsidR="00B565C6" w:rsidRDefault="00B565C6" w:rsidP="00465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8, 2018.</w:t>
      </w:r>
    </w:p>
    <w:p w:rsidR="00B565C6" w:rsidRPr="00B565C6" w:rsidRDefault="00B565C6" w:rsidP="00B56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565C6" w:rsidRDefault="00B565C6" w:rsidP="00465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65C6" w:rsidRDefault="00B565C6" w:rsidP="00465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565C6" w:rsidSect="000E58C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00740" w:rsidRDefault="00900740" w:rsidP="00465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7EB" w:rsidRDefault="004657EB" w:rsidP="00465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7EB" w:rsidRDefault="004657EB" w:rsidP="00465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7EB" w:rsidRDefault="004657EB" w:rsidP="00465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7EB" w:rsidRDefault="004657EB" w:rsidP="00465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7EB" w:rsidRDefault="004657EB" w:rsidP="00465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7EB" w:rsidRDefault="004657EB" w:rsidP="00465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00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F754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172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52ECB">
        <w:rPr>
          <w:color w:val="000000" w:themeColor="text1"/>
          <w:u w:color="000000" w:themeColor="text1"/>
        </w:rPr>
        <w:t>TO AMEND THE CODE OF LAWS OF SOUTH CAROLINA, 1976, BY ADDING SECTION 27</w:t>
      </w:r>
      <w:r>
        <w:rPr>
          <w:color w:val="000000" w:themeColor="text1"/>
          <w:u w:color="000000" w:themeColor="text1"/>
        </w:rPr>
        <w:noBreakHyphen/>
      </w:r>
      <w:r w:rsidRPr="00252ECB">
        <w:rPr>
          <w:color w:val="000000" w:themeColor="text1"/>
          <w:u w:color="000000" w:themeColor="text1"/>
        </w:rPr>
        <w:t>8</w:t>
      </w:r>
      <w:r>
        <w:rPr>
          <w:color w:val="000000" w:themeColor="text1"/>
          <w:u w:color="000000" w:themeColor="text1"/>
        </w:rPr>
        <w:noBreakHyphen/>
      </w:r>
      <w:r w:rsidRPr="00252ECB">
        <w:rPr>
          <w:color w:val="000000" w:themeColor="text1"/>
          <w:u w:color="000000" w:themeColor="text1"/>
        </w:rPr>
        <w:t>85 SO AS TO ALLOW FOR THE HOLDER OF A CONSERVATION EASEMENT TO CONTEST AN ACTION TO CONDEMN PROPERTY ENCUMBERED BY A CONSERVATION EASEMENT UNDER CERTAIN CIRCUMSTANCES, TO PROVIDE THE PROCEDURE FOR A CONTESTED ACTION, AND TO PROVIDE EXCEPTIONS UNDER CERTAIN CIRCUMSTANCES.</w:t>
      </w:r>
      <w:bookmarkEnd w:id="1"/>
    </w:p>
    <w:p w:rsidR="0010776B" w:rsidRDefault="00B565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B565C6" w:rsidRDefault="00B565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7543" w:rsidRDefault="005F75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F7543" w:rsidRDefault="005F75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65C6" w:rsidRDefault="00B565C6" w:rsidP="00B56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116D">
        <w:rPr>
          <w:u w:color="000000" w:themeColor="text1"/>
        </w:rPr>
        <w:t>SECTION</w:t>
      </w:r>
      <w:r w:rsidRPr="00A4116D">
        <w:rPr>
          <w:u w:color="000000" w:themeColor="text1"/>
        </w:rPr>
        <w:tab/>
        <w:t>1.</w:t>
      </w:r>
      <w:r w:rsidRPr="00A4116D">
        <w:rPr>
          <w:u w:color="000000" w:themeColor="text1"/>
        </w:rPr>
        <w:tab/>
        <w:t xml:space="preserve">Chapter 8, Title 27 of the 1976 Code is amended by adding: </w:t>
      </w:r>
    </w:p>
    <w:p w:rsidR="00B565C6" w:rsidRPr="00A4116D" w:rsidRDefault="00B565C6" w:rsidP="00B56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565C6" w:rsidRPr="00A4116D" w:rsidRDefault="00B565C6" w:rsidP="00B56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116D">
        <w:rPr>
          <w:u w:color="000000" w:themeColor="text1"/>
        </w:rPr>
        <w:tab/>
        <w:t>“Section 27</w:t>
      </w:r>
      <w:r w:rsidRPr="00A4116D">
        <w:rPr>
          <w:u w:color="000000" w:themeColor="text1"/>
        </w:rPr>
        <w:noBreakHyphen/>
        <w:t>8</w:t>
      </w:r>
      <w:r w:rsidRPr="00A4116D">
        <w:rPr>
          <w:u w:color="000000" w:themeColor="text1"/>
        </w:rPr>
        <w:noBreakHyphen/>
        <w:t>85.</w:t>
      </w:r>
      <w:r w:rsidRPr="00A4116D">
        <w:rPr>
          <w:u w:color="000000" w:themeColor="text1"/>
        </w:rPr>
        <w:tab/>
        <w:t>(</w:t>
      </w:r>
      <w:bookmarkStart w:id="5" w:name="temp"/>
      <w:bookmarkEnd w:id="5"/>
      <w:r w:rsidRPr="00A4116D">
        <w:rPr>
          <w:u w:color="000000" w:themeColor="text1"/>
        </w:rPr>
        <w:t>A)</w:t>
      </w:r>
      <w:r w:rsidRPr="00A4116D">
        <w:rPr>
          <w:u w:color="000000" w:themeColor="text1"/>
        </w:rPr>
        <w:tab/>
        <w:t xml:space="preserve">Notwithstanding the provisions of Title 28, if the condemnation notice applies to land subject to a conservation easement and the condemnee rejects the amount tendered within the thirty day period, the condemnation action is stayed and the condemnor may not take possession of the property until a hearing is held in a circuit court of appropriate jurisdiction. The court shall hear and determine whether or not a prudent and feasible alternative exists to condemnation of the property. The burden is on the condemnor if the holder of the conservation easement or condemnee, after discovery, has identified at least one alternative. If the alternative is not adjudged prudent and feasible, the condemnation action may proceed. If the court determines that a prudent and feasible alternative does exist to condemnation of the property, the court shall dismiss the condemnation action and award </w:t>
      </w:r>
      <w:r w:rsidRPr="00A4116D">
        <w:rPr>
          <w:u w:color="000000" w:themeColor="text1"/>
        </w:rPr>
        <w:lastRenderedPageBreak/>
        <w:t xml:space="preserve">the condemnee costs and litigation expenses as applicable. Attorney’s fees may not be awarded. </w:t>
      </w:r>
    </w:p>
    <w:p w:rsidR="00B565C6" w:rsidRPr="00A4116D" w:rsidRDefault="00B565C6" w:rsidP="00B56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116D">
        <w:rPr>
          <w:u w:color="000000" w:themeColor="text1"/>
        </w:rPr>
        <w:tab/>
        <w:t>(B)</w:t>
      </w:r>
      <w:r w:rsidRPr="00A4116D">
        <w:rPr>
          <w:u w:color="000000" w:themeColor="text1"/>
        </w:rPr>
        <w:tab/>
        <w:t xml:space="preserve">A determination as to whether a prudent or feasible alternative exists is not required for actions where: </w:t>
      </w:r>
    </w:p>
    <w:p w:rsidR="00B565C6" w:rsidRPr="00A4116D" w:rsidRDefault="00B565C6" w:rsidP="00B56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116D">
        <w:rPr>
          <w:u w:color="000000" w:themeColor="text1"/>
        </w:rPr>
        <w:tab/>
      </w:r>
      <w:r w:rsidRPr="00A4116D">
        <w:rPr>
          <w:u w:color="000000" w:themeColor="text1"/>
        </w:rPr>
        <w:tab/>
        <w:t>(1)</w:t>
      </w:r>
      <w:r w:rsidRPr="00A4116D">
        <w:rPr>
          <w:u w:color="000000" w:themeColor="text1"/>
        </w:rPr>
        <w:tab/>
        <w:t>the South Carolina Department of Transportation is the condemnor; and</w:t>
      </w:r>
    </w:p>
    <w:p w:rsidR="00B565C6" w:rsidRPr="00A4116D" w:rsidRDefault="00B565C6" w:rsidP="00B56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116D">
        <w:rPr>
          <w:u w:color="000000" w:themeColor="text1"/>
        </w:rPr>
        <w:tab/>
      </w:r>
      <w:r w:rsidRPr="00A4116D">
        <w:rPr>
          <w:u w:color="000000" w:themeColor="text1"/>
        </w:rPr>
        <w:tab/>
        <w:t>(2)</w:t>
      </w:r>
      <w:r w:rsidRPr="00A4116D">
        <w:rPr>
          <w:u w:color="000000" w:themeColor="text1"/>
        </w:rPr>
        <w:tab/>
        <w:t xml:space="preserve">a review of the project for which the property is being condemned was conducted prior to the filing of the condemnation action and considered the alternatives to the condemnation of the property encumbered by the conservation easement and mitigation measures to minimize the impact. The condemnor shall, in the condemnation notice filed with the court, identify the alternatives and mitigation measures considered with regard to condemnation; or </w:t>
      </w:r>
    </w:p>
    <w:p w:rsidR="00B565C6" w:rsidRPr="00A4116D" w:rsidRDefault="00B565C6" w:rsidP="00B56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116D">
        <w:rPr>
          <w:u w:color="000000" w:themeColor="text1"/>
        </w:rPr>
        <w:tab/>
      </w:r>
      <w:r w:rsidRPr="00A4116D">
        <w:rPr>
          <w:u w:color="000000" w:themeColor="text1"/>
        </w:rPr>
        <w:tab/>
        <w:t>(3)</w:t>
      </w:r>
      <w:r w:rsidRPr="00A4116D">
        <w:rPr>
          <w:u w:color="000000" w:themeColor="text1"/>
        </w:rPr>
        <w:tab/>
        <w:t xml:space="preserve">the review was conducted pursuant to the National Environmental Policy Act, 42 U.S.C. Sections 4321, et seq. </w:t>
      </w:r>
    </w:p>
    <w:p w:rsidR="0001721C" w:rsidRPr="00252ECB" w:rsidRDefault="00B565C6" w:rsidP="00B56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116D">
        <w:rPr>
          <w:u w:color="000000" w:themeColor="text1"/>
        </w:rPr>
        <w:tab/>
        <w:t>(C)</w:t>
      </w:r>
      <w:r w:rsidRPr="00A4116D">
        <w:rPr>
          <w:u w:color="000000" w:themeColor="text1"/>
        </w:rPr>
        <w:tab/>
        <w:t>If a condemnee notifies the condemnor in writing, after receiving the condemnation notice to enter upon the landowner’s property, that the property is subject to a conservation easement, then the condemnor shall consider prudent and feasible alternatives during his survey or appraisal of the property.”</w:t>
      </w:r>
    </w:p>
    <w:p w:rsidR="0001721C" w:rsidRPr="00252ECB" w:rsidRDefault="0001721C" w:rsidP="0001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7543" w:rsidRDefault="0001721C" w:rsidP="0001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52ECB">
        <w:rPr>
          <w:color w:val="000000" w:themeColor="text1"/>
          <w:u w:color="000000" w:themeColor="text1"/>
        </w:rPr>
        <w:t>SECTION</w:t>
      </w:r>
      <w:r>
        <w:rPr>
          <w:color w:val="000000" w:themeColor="text1"/>
          <w:u w:color="000000" w:themeColor="text1"/>
        </w:rPr>
        <w:tab/>
      </w:r>
      <w:r w:rsidRPr="00252ECB">
        <w:rPr>
          <w:color w:val="000000" w:themeColor="text1"/>
          <w:u w:color="000000" w:themeColor="text1"/>
        </w:rPr>
        <w:t>2.</w:t>
      </w:r>
      <w:r>
        <w:rPr>
          <w:color w:val="000000" w:themeColor="text1"/>
          <w:u w:color="000000" w:themeColor="text1"/>
        </w:rPr>
        <w:tab/>
      </w:r>
      <w:r w:rsidRPr="00252ECB">
        <w:rPr>
          <w:color w:val="000000" w:themeColor="text1"/>
          <w:u w:color="000000" w:themeColor="text1"/>
        </w:rPr>
        <w:t xml:space="preserve">This act takes effect upon approval by the Governor. </w:t>
      </w:r>
    </w:p>
    <w:p w:rsidR="00F81CA7" w:rsidRDefault="0001721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46A4D" w:rsidRDefault="00D46A4D" w:rsidP="00D46A4D">
      <w:pPr>
        <w:suppressAutoHyphens/>
      </w:pPr>
    </w:p>
    <w:sectPr w:rsidR="00D46A4D" w:rsidSect="000E58C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7543" w:rsidRDefault="005F7543" w:rsidP="009F0C77">
      <w:r>
        <w:separator/>
      </w:r>
    </w:p>
  </w:endnote>
  <w:endnote w:type="continuationSeparator" w:id="0">
    <w:p w:rsidR="005F7543" w:rsidRDefault="005F754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A83AF92-EAA0-4519-A57F-C14719F5F262}"/>
    <w:embedBold r:id="rId2" w:fontKey="{9F0D5A37-B532-4959-B7D6-0D99EAD3DED5}"/>
  </w:font>
  <w:font w:name="Calibri">
    <w:panose1 w:val="020F0502020204030204"/>
    <w:charset w:val="00"/>
    <w:family w:val="swiss"/>
    <w:pitch w:val="variable"/>
    <w:sig w:usb0="E00002FF" w:usb1="4000ACFF" w:usb2="00000001" w:usb3="00000000" w:csb0="0000019F" w:csb1="00000000"/>
    <w:embedRegular r:id="rId3" w:fontKey="{1F14D899-2CCD-4173-A3CD-4FD1CAF693E5}"/>
  </w:font>
  <w:font w:name="Segoe UI">
    <w:panose1 w:val="020B0502040204020203"/>
    <w:charset w:val="00"/>
    <w:family w:val="swiss"/>
    <w:pitch w:val="variable"/>
    <w:sig w:usb0="E10022FF" w:usb1="C000E47F" w:usb2="00000029" w:usb3="00000000" w:csb0="000001DF" w:csb1="00000000"/>
    <w:embedRegular r:id="rId4" w:fontKey="{1DE12AF5-35AD-4AFE-BF94-58CADD6C1D7D}"/>
  </w:font>
  <w:font w:name="Cambria">
    <w:panose1 w:val="02040503050406030204"/>
    <w:charset w:val="00"/>
    <w:family w:val="roman"/>
    <w:pitch w:val="variable"/>
    <w:sig w:usb0="E00002FF" w:usb1="400004FF" w:usb2="00000000" w:usb3="00000000" w:csb0="0000019F" w:csb1="00000000"/>
    <w:embedRegular r:id="rId5" w:fontKey="{DE6BC9F0-13F0-4447-9A07-A942A345624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1CA7" w:rsidRPr="00900740" w:rsidRDefault="00900740" w:rsidP="00900740">
    <w:pPr>
      <w:pStyle w:val="Footer"/>
      <w:tabs>
        <w:tab w:val="clear" w:pos="4680"/>
        <w:tab w:val="clear" w:pos="9360"/>
        <w:tab w:val="center" w:pos="2995"/>
      </w:tabs>
      <w:spacing w:before="120"/>
    </w:pPr>
    <w:r>
      <w:t>[4889</w:t>
    </w:r>
    <w:r w:rsidR="000E58C2">
      <w:t>-</w:t>
    </w:r>
    <w:r w:rsidR="000E58C2">
      <w:fldChar w:fldCharType="begin"/>
    </w:r>
    <w:r w:rsidR="000E58C2">
      <w:instrText xml:space="preserve"> PAGE  \* MERGEFORMAT </w:instrText>
    </w:r>
    <w:r w:rsidR="000E58C2">
      <w:fldChar w:fldCharType="separate"/>
    </w:r>
    <w:r w:rsidR="00890B69">
      <w:rPr>
        <w:noProof/>
      </w:rPr>
      <w:t>1</w:t>
    </w:r>
    <w:r w:rsidR="000E58C2">
      <w:fldChar w:fldCharType="end"/>
    </w:r>
    <w:r w:rsidR="000E58C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8C2" w:rsidRPr="00900740" w:rsidRDefault="000E58C2" w:rsidP="00900740">
    <w:pPr>
      <w:pStyle w:val="Footer"/>
      <w:tabs>
        <w:tab w:val="clear" w:pos="4680"/>
        <w:tab w:val="clear" w:pos="9360"/>
        <w:tab w:val="center" w:pos="2995"/>
      </w:tabs>
      <w:spacing w:before="120"/>
    </w:pPr>
    <w:r>
      <w:t>[4889]</w:t>
    </w:r>
    <w:r>
      <w:tab/>
    </w:r>
    <w:r>
      <w:fldChar w:fldCharType="begin"/>
    </w:r>
    <w:r>
      <w:instrText xml:space="preserve"> PAGE  \* MERGEFORMAT </w:instrText>
    </w:r>
    <w:r>
      <w:fldChar w:fldCharType="separate"/>
    </w:r>
    <w:r w:rsidR="00D46A4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7543" w:rsidRDefault="005F7543" w:rsidP="009F0C77">
      <w:r>
        <w:separator/>
      </w:r>
    </w:p>
  </w:footnote>
  <w:footnote w:type="continuationSeparator" w:id="0">
    <w:p w:rsidR="005F7543" w:rsidRDefault="005F754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81CZ18"/>
    <w:docVar w:name="CoverBillType" w:val="b"/>
    <w:docVar w:name="DocPath" w:val="L:\Council\bills\NBD\11181CZ18.DOCX"/>
    <w:docVar w:name="dvBillNumber" w:val="4889"/>
    <w:docVar w:name="dvBillNumberPrefix" w:val="H. "/>
    <w:docVar w:name="dvOriginalBody" w:val="House"/>
    <w:docVar w:name="dvSteno" w:val="NBD"/>
    <w:docVar w:name="NameofBody" w:val="h"/>
    <w:docVar w:name="vGroup2" w:val="Council"/>
  </w:docVars>
  <w:rsids>
    <w:rsidRoot w:val="005F7543"/>
    <w:rsid w:val="00011869"/>
    <w:rsid w:val="00015CD6"/>
    <w:rsid w:val="0001721C"/>
    <w:rsid w:val="000E0100"/>
    <w:rsid w:val="000E1785"/>
    <w:rsid w:val="000E58C2"/>
    <w:rsid w:val="000F32B8"/>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71F06"/>
    <w:rsid w:val="003C4DAB"/>
    <w:rsid w:val="003D01E8"/>
    <w:rsid w:val="003E5288"/>
    <w:rsid w:val="003F6D79"/>
    <w:rsid w:val="0041760A"/>
    <w:rsid w:val="00417C01"/>
    <w:rsid w:val="004403BD"/>
    <w:rsid w:val="00461441"/>
    <w:rsid w:val="004657EB"/>
    <w:rsid w:val="004809EE"/>
    <w:rsid w:val="004E7D54"/>
    <w:rsid w:val="005273C6"/>
    <w:rsid w:val="00530A69"/>
    <w:rsid w:val="00545593"/>
    <w:rsid w:val="00556EBF"/>
    <w:rsid w:val="00577C6C"/>
    <w:rsid w:val="005A62FE"/>
    <w:rsid w:val="005C2FE2"/>
    <w:rsid w:val="005E2BC9"/>
    <w:rsid w:val="005F7543"/>
    <w:rsid w:val="00605102"/>
    <w:rsid w:val="006215AA"/>
    <w:rsid w:val="006913C9"/>
    <w:rsid w:val="0069470D"/>
    <w:rsid w:val="006D58AA"/>
    <w:rsid w:val="00703F61"/>
    <w:rsid w:val="00734F00"/>
    <w:rsid w:val="007A70AE"/>
    <w:rsid w:val="008362E8"/>
    <w:rsid w:val="0085786E"/>
    <w:rsid w:val="00890B69"/>
    <w:rsid w:val="008A1768"/>
    <w:rsid w:val="008A489F"/>
    <w:rsid w:val="008F0F33"/>
    <w:rsid w:val="008F4429"/>
    <w:rsid w:val="00900740"/>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565C6"/>
    <w:rsid w:val="00BA565C"/>
    <w:rsid w:val="00BE3C22"/>
    <w:rsid w:val="00C0345E"/>
    <w:rsid w:val="00C31C95"/>
    <w:rsid w:val="00C3483A"/>
    <w:rsid w:val="00C74E9D"/>
    <w:rsid w:val="00C826DD"/>
    <w:rsid w:val="00C82FD3"/>
    <w:rsid w:val="00C92819"/>
    <w:rsid w:val="00CC6B7B"/>
    <w:rsid w:val="00CD2089"/>
    <w:rsid w:val="00D46A4D"/>
    <w:rsid w:val="00D73A67"/>
    <w:rsid w:val="00D970A9"/>
    <w:rsid w:val="00DF352F"/>
    <w:rsid w:val="00DF3845"/>
    <w:rsid w:val="00E41911"/>
    <w:rsid w:val="00E44B57"/>
    <w:rsid w:val="00E92EEF"/>
    <w:rsid w:val="00EF2368"/>
    <w:rsid w:val="00F06220"/>
    <w:rsid w:val="00F24442"/>
    <w:rsid w:val="00F50AE3"/>
    <w:rsid w:val="00F61FA8"/>
    <w:rsid w:val="00F655B7"/>
    <w:rsid w:val="00F656BA"/>
    <w:rsid w:val="00F67CF1"/>
    <w:rsid w:val="00F728AA"/>
    <w:rsid w:val="00F81CA7"/>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2A33EBA-A03E-4E76-A068-80F4A3BFD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1721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721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93AD9A-77CD-4F51-A2F4-956C13BF01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94A985EF</Template>
  <TotalTime>0</TotalTime>
  <Pages>3</Pages>
  <Words>443</Words>
  <Characters>2348</Characters>
  <Application>Microsoft Office Word</Application>
  <DocSecurity>0</DocSecurity>
  <Lines>77</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4889 Text of Previous Version (Mar. 8, 2018) - South Carolina Legislature Online</dc:title>
  <dc:creator>%USERNAME%</dc:creator>
  <cp:lastModifiedBy>Warren Wilson</cp:lastModifiedBy>
  <cp:revision>2</cp:revision>
  <cp:lastPrinted>2018-02-07T15:42:00Z</cp:lastPrinted>
  <dcterms:created xsi:type="dcterms:W3CDTF">2018-03-08T22:45:00Z</dcterms:created>
  <dcterms:modified xsi:type="dcterms:W3CDTF">2018-03-08T22:45:00Z</dcterms:modified>
</cp:coreProperties>
</file>