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38D2" w:rsidRP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Default="00B32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ADOPTED AND AMENDED</w:t>
      </w:r>
    </w:p>
    <w:p w:rsidR="00AB38D2" w:rsidRDefault="00B32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w:t>
      </w:r>
      <w:r w:rsidR="00AB38D2">
        <w:rPr>
          <w:rFonts w:eastAsia="Times New Roman"/>
        </w:rPr>
        <w:t>, 2018</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Pr="00AB38D2" w:rsidRDefault="00AB38D2" w:rsidP="00AB38D2">
      <w:pPr>
        <w:tabs>
          <w:tab w:val="right" w:pos="5933"/>
        </w:tabs>
        <w:suppressAutoHyphens/>
        <w:jc w:val="both"/>
        <w:rPr>
          <w:rFonts w:eastAsia="Times New Roman"/>
        </w:rPr>
      </w:pPr>
      <w:r>
        <w:rPr>
          <w:rFonts w:eastAsia="Times New Roman"/>
        </w:rPr>
        <w:tab/>
      </w:r>
      <w:r>
        <w:rPr>
          <w:rFonts w:eastAsia="Times New Roman"/>
          <w:b/>
          <w:sz w:val="36"/>
        </w:rPr>
        <w:t>S. 872</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64AF">
        <w:t>Senator Timmons</w:t>
      </w:r>
      <w:r w:rsidR="00016B7F">
        <w:t xml:space="preserve"> and Martin</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Default="00B32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AB38D2">
        <w:rPr>
          <w:rFonts w:eastAsia="Times New Roman"/>
        </w:rPr>
        <w:t>/6/18--S.</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AB38D2" w:rsidRP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P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38D2" w:rsidSect="00AB38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01400" w:rsidRPr="0079306A" w:rsidRDefault="00201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20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79306A">
        <w:rPr>
          <w:rFonts w:eastAsia="Times New Roman"/>
          <w:b/>
          <w:sz w:val="30"/>
          <w:szCs w:val="30"/>
        </w:rPr>
        <w:t xml:space="preserve">A </w:t>
      </w:r>
      <w:bookmarkStart w:id="2" w:name="whattype"/>
      <w:bookmarkEnd w:id="2"/>
      <w:r w:rsidR="00012A9F" w:rsidRPr="0079306A">
        <w:rPr>
          <w:rFonts w:eastAsia="Times New Roman"/>
          <w:b/>
          <w:sz w:val="30"/>
          <w:szCs w:val="30"/>
        </w:rPr>
        <w:t>BILL</w:t>
      </w: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3134" w:rsidRDefault="00683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3134">
        <w:rPr>
          <w:rFonts w:eastAsia="Times New Roman"/>
        </w:rPr>
        <w:t>TO AMEND SECTION 24-3-530 OF THE 1976 CODE, RELATING TO DEATH BY ELECTROCUTION OR LETHAL INJECTION, 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TO PROVIDE THAT</w:t>
      </w:r>
      <w:r w:rsidRPr="00683134">
        <w:t xml:space="preserve"> THE PENALTY MUST BE ADMINISTERED BY ELECTROCUTION</w:t>
      </w:r>
      <w:r w:rsidR="00EB44BB">
        <w:t xml:space="preserve"> </w:t>
      </w:r>
      <w:r w:rsidR="00EB44BB">
        <w:rPr>
          <w:rFonts w:eastAsia="Times New Roman"/>
        </w:rPr>
        <w:t>FOR A</w:t>
      </w:r>
      <w:r w:rsidR="00EB44BB" w:rsidRPr="00683134">
        <w:t xml:space="preserve"> PERSON </w:t>
      </w:r>
      <w:r w:rsidR="00EB44BB">
        <w:t xml:space="preserve">WHO </w:t>
      </w:r>
      <w:r w:rsidR="00EB44BB" w:rsidRPr="00683134">
        <w:t>WAIVES THE RIGHT OF ELECTION</w:t>
      </w:r>
      <w:r w:rsidRPr="00683134">
        <w:t>, 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1"/>
    </w:p>
    <w:p w:rsidR="00522CE0" w:rsidRDefault="00B32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321C5" w:rsidRPr="0079306A" w:rsidRDefault="00B32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Be it enacted by the General Assembly of the State of South Carolina:</w:t>
      </w: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21C5"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24-3-530 of the 1976 Code is amended to read:</w:t>
      </w:r>
    </w:p>
    <w:p w:rsidR="00B321C5"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321C5" w:rsidRPr="00EE175E"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rFonts w:eastAsia="Times New Roman"/>
          <w:snapToGrid w:val="0"/>
          <w:szCs w:val="20"/>
        </w:rPr>
        <w:tab/>
        <w:t>“Section 24-3-530.</w:t>
      </w:r>
      <w:r>
        <w:rPr>
          <w:rFonts w:eastAsia="Times New Roman"/>
          <w:snapToGrid w:val="0"/>
          <w:szCs w:val="20"/>
        </w:rPr>
        <w:tab/>
      </w:r>
      <w:r w:rsidRPr="00EE175E">
        <w:rPr>
          <w:color w:val="000000" w:themeColor="text1"/>
          <w:szCs w:val="27"/>
          <w:u w:color="000000" w:themeColor="text1"/>
        </w:rPr>
        <w:t>(A)</w:t>
      </w:r>
      <w:r w:rsidRPr="00EE175E">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B75EEF">
        <w:rPr>
          <w:color w:val="000000" w:themeColor="text1"/>
          <w:szCs w:val="27"/>
          <w:u w:val="single"/>
        </w:rPr>
        <w:t xml:space="preserve">, </w:t>
      </w:r>
      <w:r w:rsidRPr="00EE175E">
        <w:rPr>
          <w:color w:val="000000" w:themeColor="text1"/>
          <w:szCs w:val="27"/>
          <w:u w:val="single" w:color="000000" w:themeColor="text1"/>
        </w:rPr>
        <w:t>if it is available at the time of election,</w:t>
      </w:r>
      <w:r w:rsidRPr="00EE175E">
        <w:rPr>
          <w:color w:val="000000" w:themeColor="text1"/>
          <w:szCs w:val="27"/>
          <w:u w:color="000000" w:themeColor="text1"/>
        </w:rPr>
        <w:t xml:space="preserve"> under the direction of the Director of the Department of Corrections. The election for </w:t>
      </w:r>
      <w:r w:rsidRPr="00EE175E">
        <w:rPr>
          <w:color w:val="000000" w:themeColor="text1"/>
          <w:szCs w:val="27"/>
          <w:u w:color="000000" w:themeColor="text1"/>
        </w:rPr>
        <w:lastRenderedPageBreak/>
        <w:t xml:space="preserve">death by electrocution or lethal injection must be made in writing fourteen days before the execution date or it is waived. If the person waives the right of election, then the penalty must be administered by </w:t>
      </w:r>
      <w:r w:rsidRPr="00EE175E">
        <w:rPr>
          <w:strike/>
          <w:color w:val="000000" w:themeColor="text1"/>
          <w:szCs w:val="27"/>
          <w:u w:color="000000" w:themeColor="text1"/>
        </w:rPr>
        <w:t>lethal injection</w:t>
      </w:r>
      <w:r w:rsidRPr="00EE175E">
        <w:rPr>
          <w:color w:val="000000" w:themeColor="text1"/>
          <w:szCs w:val="27"/>
          <w:u w:color="000000" w:themeColor="text1"/>
        </w:rPr>
        <w:t xml:space="preserve"> </w:t>
      </w:r>
      <w:r w:rsidRPr="00EE175E">
        <w:rPr>
          <w:color w:val="000000" w:themeColor="text1"/>
          <w:szCs w:val="27"/>
          <w:u w:val="single" w:color="000000" w:themeColor="text1"/>
        </w:rPr>
        <w:t>electrocution</w:t>
      </w:r>
      <w:r w:rsidRPr="00EE175E">
        <w:rPr>
          <w:color w:val="000000" w:themeColor="text1"/>
          <w:szCs w:val="27"/>
          <w:u w:color="000000" w:themeColor="text1"/>
        </w:rPr>
        <w:t>.</w:t>
      </w:r>
    </w:p>
    <w:p w:rsidR="00B321C5" w:rsidRPr="00EE175E"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val="single" w:color="000000" w:themeColor="text1"/>
        </w:rPr>
      </w:pPr>
      <w:r w:rsidRPr="00EE175E">
        <w:rPr>
          <w:color w:val="000000" w:themeColor="text1"/>
          <w:szCs w:val="27"/>
          <w:u w:color="000000" w:themeColor="text1"/>
        </w:rPr>
        <w:tab/>
      </w:r>
      <w:r w:rsidRPr="00EF1533">
        <w:rPr>
          <w:color w:val="000000" w:themeColor="text1"/>
          <w:szCs w:val="27"/>
          <w:u w:val="single" w:color="000000" w:themeColor="text1"/>
        </w:rPr>
        <w:t>(B)</w:t>
      </w:r>
      <w:r w:rsidRPr="00EF1533">
        <w:rPr>
          <w:color w:val="000000" w:themeColor="text1"/>
          <w:szCs w:val="27"/>
          <w:u w:color="000000" w:themeColor="text1"/>
        </w:rPr>
        <w:tab/>
      </w:r>
      <w:r w:rsidRPr="00EF1533">
        <w:rPr>
          <w:color w:val="000000" w:themeColor="text1"/>
          <w:szCs w:val="27"/>
          <w:u w:val="single" w:color="000000" w:themeColor="text1"/>
        </w:rPr>
        <w:t xml:space="preserve">The Director of the Department of Corrections shall determine and certify </w:t>
      </w:r>
      <w:r>
        <w:rPr>
          <w:color w:val="000000" w:themeColor="text1"/>
          <w:szCs w:val="27"/>
          <w:u w:val="single" w:color="000000" w:themeColor="text1"/>
        </w:rPr>
        <w:t xml:space="preserve">by affidavit to the Supreme Court </w:t>
      </w:r>
      <w:r w:rsidRPr="00EF1533">
        <w:rPr>
          <w:color w:val="000000" w:themeColor="text1"/>
          <w:szCs w:val="27"/>
          <w:u w:val="single" w:color="000000" w:themeColor="text1"/>
        </w:rPr>
        <w:t>whether the method selected pursuant to subsection (A) is available.</w:t>
      </w:r>
    </w:p>
    <w:p w:rsidR="00B321C5" w:rsidRPr="00EE175E" w:rsidRDefault="00B321C5" w:rsidP="00B321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EE175E">
        <w:rPr>
          <w:color w:val="000000" w:themeColor="text1"/>
          <w:sz w:val="22"/>
          <w:szCs w:val="27"/>
          <w:u w:color="000000" w:themeColor="text1"/>
        </w:rPr>
        <w:tab/>
      </w:r>
      <w:r w:rsidRPr="00EE175E">
        <w:rPr>
          <w:strike/>
          <w:color w:val="000000" w:themeColor="text1"/>
          <w:sz w:val="22"/>
          <w:szCs w:val="27"/>
          <w:u w:color="000000" w:themeColor="text1"/>
        </w:rPr>
        <w:t>(B)</w:t>
      </w:r>
      <w:r w:rsidRPr="00EE175E">
        <w:rPr>
          <w:color w:val="000000" w:themeColor="text1"/>
          <w:sz w:val="22"/>
          <w:szCs w:val="27"/>
          <w:u w:val="single" w:color="000000" w:themeColor="text1"/>
        </w:rPr>
        <w:t>(C)</w:t>
      </w:r>
      <w:r w:rsidRPr="00EE175E">
        <w:rPr>
          <w:color w:val="000000" w:themeColor="text1"/>
          <w:sz w:val="22"/>
          <w:szCs w:val="27"/>
          <w:u w:color="000000" w:themeColor="text1"/>
        </w:rPr>
        <w:tab/>
        <w:t xml:space="preserve">A person convicted of a capital crime and sentenced to death by electrocution prior to the effective date of this section must be administered death by electrocution unless the person elects </w:t>
      </w:r>
      <w:r w:rsidRPr="002F27AC">
        <w:rPr>
          <w:snapToGrid w:val="0"/>
          <w:szCs w:val="20"/>
        </w:rPr>
        <w:t>death by lethal injection</w:t>
      </w:r>
      <w:r w:rsidRPr="002F27AC">
        <w:rPr>
          <w:snapToGrid w:val="0"/>
          <w:szCs w:val="20"/>
          <w:u w:val="single"/>
        </w:rPr>
        <w:t>, and it is available,</w:t>
      </w:r>
      <w:r w:rsidRPr="002F27AC">
        <w:rPr>
          <w:snapToGrid w:val="0"/>
          <w:szCs w:val="20"/>
        </w:rPr>
        <w:t xml:space="preserve"> in writing fourteen days before the execution date.</w:t>
      </w:r>
      <w:r>
        <w:rPr>
          <w:snapToGrid w:val="0"/>
          <w:szCs w:val="20"/>
        </w:rPr>
        <w:t xml:space="preserve">  </w:t>
      </w:r>
      <w:r w:rsidRPr="002F27AC">
        <w:rPr>
          <w:snapToGrid w:val="0"/>
          <w:szCs w:val="20"/>
          <w:u w:val="single"/>
        </w:rPr>
        <w:t xml:space="preserve">The convicted person’s signature on this form must </w:t>
      </w:r>
      <w:r>
        <w:rPr>
          <w:snapToGrid w:val="0"/>
          <w:szCs w:val="20"/>
          <w:u w:val="single"/>
        </w:rPr>
        <w:t xml:space="preserve">be </w:t>
      </w:r>
      <w:r w:rsidRPr="002F27AC">
        <w:rPr>
          <w:snapToGrid w:val="0"/>
          <w:szCs w:val="20"/>
          <w:u w:val="single"/>
        </w:rPr>
        <w:t>witnessed by two persons who are not inmates of the Department of Corrections, and the witnesses’ signatures must be duly notarized.</w:t>
      </w:r>
      <w:r>
        <w:rPr>
          <w:snapToGrid w:val="0"/>
          <w:szCs w:val="20"/>
          <w:u w:val="single"/>
        </w:rPr>
        <w:t xml:space="preserve">  The form must contain a certification signed by the witnesses that the convicted person’s signature is free from coercion and voluntarily given.</w:t>
      </w:r>
    </w:p>
    <w:p w:rsidR="00B321C5"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EE175E">
        <w:rPr>
          <w:color w:val="000000" w:themeColor="text1"/>
          <w:szCs w:val="27"/>
          <w:u w:color="000000" w:themeColor="text1"/>
        </w:rPr>
        <w:tab/>
      </w:r>
      <w:r w:rsidRPr="00EE175E">
        <w:rPr>
          <w:strike/>
          <w:color w:val="000000" w:themeColor="text1"/>
          <w:szCs w:val="27"/>
          <w:u w:color="000000" w:themeColor="text1"/>
        </w:rPr>
        <w:t>(C)</w:t>
      </w:r>
      <w:r w:rsidRPr="00EE175E">
        <w:rPr>
          <w:color w:val="000000" w:themeColor="text1"/>
          <w:szCs w:val="27"/>
          <w:u w:val="single" w:color="000000" w:themeColor="text1"/>
        </w:rPr>
        <w:t>(D)</w:t>
      </w:r>
      <w:r w:rsidRPr="00EE175E">
        <w:rPr>
          <w:color w:val="000000" w:themeColor="text1"/>
          <w:szCs w:val="27"/>
          <w:u w:color="000000" w:themeColor="text1"/>
        </w:rPr>
        <w:tab/>
        <w:t xml:space="preserve">If execution by lethal injection under this section </w:t>
      </w:r>
      <w:r w:rsidRPr="00EF1533">
        <w:rPr>
          <w:color w:val="000000" w:themeColor="text1"/>
          <w:szCs w:val="27"/>
          <w:u w:val="single" w:color="000000" w:themeColor="text1"/>
        </w:rPr>
        <w:t xml:space="preserve">is determined and certified </w:t>
      </w:r>
      <w:r>
        <w:rPr>
          <w:color w:val="000000" w:themeColor="text1"/>
          <w:szCs w:val="27"/>
          <w:u w:val="single" w:color="000000" w:themeColor="text1"/>
        </w:rPr>
        <w:t xml:space="preserve">pursuant to subsection (B) </w:t>
      </w:r>
      <w:r w:rsidRPr="00EF1533">
        <w:rPr>
          <w:color w:val="000000" w:themeColor="text1"/>
          <w:szCs w:val="27"/>
          <w:u w:val="single" w:color="000000" w:themeColor="text1"/>
        </w:rPr>
        <w:t>to be unavailable by the Director of the Department of Corrections or</w:t>
      </w:r>
      <w:r w:rsidRPr="00EE175E">
        <w:rPr>
          <w:color w:val="000000" w:themeColor="text1"/>
          <w:szCs w:val="27"/>
          <w:u w:color="000000" w:themeColor="text1"/>
        </w:rPr>
        <w:t xml:space="preserve"> is held to be unconstitutional by an appellate court of competent jurisdiction, then the manner of inflicting a death sentence must be by electrocution</w:t>
      </w:r>
      <w:r>
        <w:rPr>
          <w:color w:val="000000" w:themeColor="text1"/>
          <w:szCs w:val="27"/>
          <w:u w:color="000000" w:themeColor="text1"/>
        </w:rPr>
        <w:t xml:space="preserve"> </w:t>
      </w:r>
      <w:r w:rsidRPr="00EE175E">
        <w:rPr>
          <w:color w:val="000000" w:themeColor="text1"/>
          <w:szCs w:val="27"/>
          <w:u w:val="single" w:color="000000" w:themeColor="text1"/>
        </w:rPr>
        <w:t>regardless of the method elected by the person.</w:t>
      </w:r>
      <w:r>
        <w:rPr>
          <w:color w:val="000000" w:themeColor="text1"/>
          <w:szCs w:val="27"/>
          <w:u w:color="000000" w:themeColor="text1"/>
        </w:rPr>
        <w:t>”</w:t>
      </w:r>
    </w:p>
    <w:p w:rsidR="00B321C5"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012A9F" w:rsidRPr="0079306A" w:rsidRDefault="00B321C5"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7"/>
          <w:u w:color="000000" w:themeColor="text1"/>
        </w:rPr>
        <w:t>SECTION</w:t>
      </w:r>
      <w:r>
        <w:rPr>
          <w:color w:val="000000" w:themeColor="text1"/>
          <w:szCs w:val="27"/>
          <w:u w:color="000000" w:themeColor="text1"/>
        </w:rPr>
        <w:tab/>
        <w:t>2.</w:t>
      </w:r>
      <w:r>
        <w:rPr>
          <w:color w:val="000000" w:themeColor="text1"/>
          <w:szCs w:val="27"/>
          <w:u w:color="000000" w:themeColor="text1"/>
        </w:rPr>
        <w:tab/>
        <w:t>This act takes effect upon approval by the Governor.</w:t>
      </w:r>
    </w:p>
    <w:p w:rsidR="00E42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t>XX</w:t>
      </w: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r>
    </w:p>
    <w:p w:rsidR="00CB3831" w:rsidRDefault="00CB3831" w:rsidP="00CB3831">
      <w:pPr>
        <w:suppressAutoHyphens/>
        <w:jc w:val="both"/>
        <w:rPr>
          <w:rFonts w:eastAsia="Times New Roman"/>
        </w:rPr>
      </w:pPr>
    </w:p>
    <w:sectPr w:rsidR="00CB3831" w:rsidSect="00AB38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134" w:rsidRDefault="00683134" w:rsidP="00522CE0">
      <w:r>
        <w:separator/>
      </w:r>
    </w:p>
  </w:endnote>
  <w:endnote w:type="continuationSeparator" w:id="0">
    <w:p w:rsidR="00683134" w:rsidRDefault="006831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2239A3-BDA5-40F6-B456-72AEE3AF49F4}"/>
    <w:embedBold r:id="rId2" w:fontKey="{0B10F604-F859-4092-827A-C8FC49F604A1}"/>
  </w:font>
  <w:font w:name="Calibri">
    <w:panose1 w:val="020F0502020204030204"/>
    <w:charset w:val="00"/>
    <w:family w:val="swiss"/>
    <w:pitch w:val="variable"/>
    <w:sig w:usb0="E00002FF" w:usb1="4000ACFF" w:usb2="00000001" w:usb3="00000000" w:csb0="0000019F" w:csb1="00000000"/>
    <w:embedRegular r:id="rId3" w:fontKey="{1E467483-6728-433B-9E23-FEB07CCC4AEA}"/>
  </w:font>
  <w:font w:name="Segoe UI">
    <w:panose1 w:val="020B0502040204020203"/>
    <w:charset w:val="00"/>
    <w:family w:val="swiss"/>
    <w:pitch w:val="variable"/>
    <w:sig w:usb0="E10022FF" w:usb1="C000E47F" w:usb2="00000029" w:usb3="00000000" w:csb0="000001DF" w:csb1="00000000"/>
    <w:embedRegular r:id="rId4" w:fontKey="{D6736CA1-7F7F-45B4-9DEF-48B019474B49}"/>
  </w:font>
  <w:font w:name="Cambria">
    <w:panose1 w:val="02040503050406030204"/>
    <w:charset w:val="00"/>
    <w:family w:val="roman"/>
    <w:pitch w:val="variable"/>
    <w:sig w:usb0="E00002FF" w:usb1="400004FF" w:usb2="00000000" w:usb3="00000000" w:csb0="0000019F" w:csb1="00000000"/>
    <w:embedRegular r:id="rId5" w:fontKey="{8BAC2178-DA17-4C52-907A-0B8AB064E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56" w:rsidRPr="00201400" w:rsidRDefault="00201400" w:rsidP="00201400">
    <w:pPr>
      <w:pStyle w:val="Footer"/>
      <w:tabs>
        <w:tab w:val="clear" w:pos="4680"/>
        <w:tab w:val="clear" w:pos="9360"/>
        <w:tab w:val="center" w:pos="2995"/>
      </w:tabs>
      <w:spacing w:before="120"/>
    </w:pPr>
    <w:r>
      <w:t>[872</w:t>
    </w:r>
    <w:r w:rsidR="00AB38D2">
      <w:t>-</w:t>
    </w:r>
    <w:r w:rsidR="00AB38D2">
      <w:fldChar w:fldCharType="begin"/>
    </w:r>
    <w:r w:rsidR="00AB38D2">
      <w:instrText xml:space="preserve"> PAGE  \* MERGEFORMAT </w:instrText>
    </w:r>
    <w:r w:rsidR="00AB38D2">
      <w:fldChar w:fldCharType="separate"/>
    </w:r>
    <w:r w:rsidR="009D0994">
      <w:rPr>
        <w:noProof/>
      </w:rPr>
      <w:t>1</w:t>
    </w:r>
    <w:r w:rsidR="00AB38D2">
      <w:fldChar w:fldCharType="end"/>
    </w:r>
    <w:r w:rsidR="00AB38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8D2" w:rsidRPr="00201400" w:rsidRDefault="00AB38D2" w:rsidP="00201400">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sidR="00CB38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134" w:rsidRDefault="00683134" w:rsidP="00522CE0">
      <w:r>
        <w:separator/>
      </w:r>
    </w:p>
  </w:footnote>
  <w:footnote w:type="continuationSeparator" w:id="0">
    <w:p w:rsidR="00683134" w:rsidRDefault="006831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EAT.DMR.WRT"/>
    <w:docVar w:name="CoverAttorneyInitials" w:val="DMR"/>
    <w:docVar w:name="CoverAttorneyLastName" w:val="Daina Riley"/>
    <w:docVar w:name="CoverBillType" w:val="b"/>
    <w:docVar w:name="CoverSenator" w:val="WRT"/>
    <w:docVar w:name="dvBillNumber" w:val="872"/>
    <w:docVar w:name="dvBillNumberPrefix" w:val="S. "/>
    <w:docVar w:name="dvOriginalBody" w:val="Senate"/>
    <w:docVar w:name="fulldraftpath" w:val="L:\S-RES\WRT\016DEAT.DMR.WRT.DOCX"/>
    <w:docVar w:name="NameofBody" w:val="S"/>
    <w:docVar w:name="vgroup2" w:val="S-RES"/>
  </w:docVars>
  <w:rsids>
    <w:rsidRoot w:val="00012A9F"/>
    <w:rsid w:val="00012A9F"/>
    <w:rsid w:val="00016B7F"/>
    <w:rsid w:val="00042AC1"/>
    <w:rsid w:val="00046516"/>
    <w:rsid w:val="00072458"/>
    <w:rsid w:val="0007601D"/>
    <w:rsid w:val="000B0720"/>
    <w:rsid w:val="000B5EAF"/>
    <w:rsid w:val="001315B2"/>
    <w:rsid w:val="00170561"/>
    <w:rsid w:val="00186AC9"/>
    <w:rsid w:val="00197DF1"/>
    <w:rsid w:val="001B3DD9"/>
    <w:rsid w:val="001B7E5D"/>
    <w:rsid w:val="001D3BAC"/>
    <w:rsid w:val="00201400"/>
    <w:rsid w:val="00216025"/>
    <w:rsid w:val="00245C4E"/>
    <w:rsid w:val="002C1321"/>
    <w:rsid w:val="002C2031"/>
    <w:rsid w:val="002C5896"/>
    <w:rsid w:val="002D3BED"/>
    <w:rsid w:val="00307C2B"/>
    <w:rsid w:val="00315D04"/>
    <w:rsid w:val="00383247"/>
    <w:rsid w:val="003D6E2B"/>
    <w:rsid w:val="003E7597"/>
    <w:rsid w:val="00413EBF"/>
    <w:rsid w:val="004141C1"/>
    <w:rsid w:val="0044020F"/>
    <w:rsid w:val="00450668"/>
    <w:rsid w:val="00454138"/>
    <w:rsid w:val="004813A2"/>
    <w:rsid w:val="004952FA"/>
    <w:rsid w:val="004B6A22"/>
    <w:rsid w:val="004D7F37"/>
    <w:rsid w:val="00522CE0"/>
    <w:rsid w:val="00541951"/>
    <w:rsid w:val="00544B37"/>
    <w:rsid w:val="00565148"/>
    <w:rsid w:val="00570403"/>
    <w:rsid w:val="00593361"/>
    <w:rsid w:val="005A413B"/>
    <w:rsid w:val="005A5017"/>
    <w:rsid w:val="005A648C"/>
    <w:rsid w:val="005D6556"/>
    <w:rsid w:val="005F07AC"/>
    <w:rsid w:val="005F1745"/>
    <w:rsid w:val="00683134"/>
    <w:rsid w:val="006A1802"/>
    <w:rsid w:val="006C0CBB"/>
    <w:rsid w:val="006C74EA"/>
    <w:rsid w:val="006E32A4"/>
    <w:rsid w:val="00720D40"/>
    <w:rsid w:val="007318D4"/>
    <w:rsid w:val="00765784"/>
    <w:rsid w:val="0079306A"/>
    <w:rsid w:val="007A4390"/>
    <w:rsid w:val="007B41F7"/>
    <w:rsid w:val="007E5CB7"/>
    <w:rsid w:val="008314D2"/>
    <w:rsid w:val="00870F6F"/>
    <w:rsid w:val="008721A6"/>
    <w:rsid w:val="008B2F42"/>
    <w:rsid w:val="008C3697"/>
    <w:rsid w:val="008E185F"/>
    <w:rsid w:val="008F023B"/>
    <w:rsid w:val="00904E16"/>
    <w:rsid w:val="009162B3"/>
    <w:rsid w:val="00927C62"/>
    <w:rsid w:val="00953F9C"/>
    <w:rsid w:val="00983951"/>
    <w:rsid w:val="00984124"/>
    <w:rsid w:val="00984640"/>
    <w:rsid w:val="00995C37"/>
    <w:rsid w:val="009C118A"/>
    <w:rsid w:val="009C594B"/>
    <w:rsid w:val="009D0994"/>
    <w:rsid w:val="00A02011"/>
    <w:rsid w:val="00A4011E"/>
    <w:rsid w:val="00A86015"/>
    <w:rsid w:val="00A9594E"/>
    <w:rsid w:val="00AB38D2"/>
    <w:rsid w:val="00AE59C8"/>
    <w:rsid w:val="00B10098"/>
    <w:rsid w:val="00B321C5"/>
    <w:rsid w:val="00B5790D"/>
    <w:rsid w:val="00B945C5"/>
    <w:rsid w:val="00BA20EA"/>
    <w:rsid w:val="00BB5AFC"/>
    <w:rsid w:val="00BC0A56"/>
    <w:rsid w:val="00BF53E1"/>
    <w:rsid w:val="00C45366"/>
    <w:rsid w:val="00C57023"/>
    <w:rsid w:val="00C74052"/>
    <w:rsid w:val="00CB187A"/>
    <w:rsid w:val="00CB3831"/>
    <w:rsid w:val="00CC0EC7"/>
    <w:rsid w:val="00CC251A"/>
    <w:rsid w:val="00CF2C98"/>
    <w:rsid w:val="00D1088B"/>
    <w:rsid w:val="00D1286F"/>
    <w:rsid w:val="00D14DE6"/>
    <w:rsid w:val="00D156D2"/>
    <w:rsid w:val="00D2125B"/>
    <w:rsid w:val="00D35486"/>
    <w:rsid w:val="00D53E29"/>
    <w:rsid w:val="00D86943"/>
    <w:rsid w:val="00DA3C6B"/>
    <w:rsid w:val="00DA47B9"/>
    <w:rsid w:val="00DE5635"/>
    <w:rsid w:val="00E058D3"/>
    <w:rsid w:val="00E12CA0"/>
    <w:rsid w:val="00E16334"/>
    <w:rsid w:val="00E2236D"/>
    <w:rsid w:val="00E42056"/>
    <w:rsid w:val="00E65198"/>
    <w:rsid w:val="00E76AD9"/>
    <w:rsid w:val="00E91E2F"/>
    <w:rsid w:val="00E97872"/>
    <w:rsid w:val="00EA3546"/>
    <w:rsid w:val="00EB44BB"/>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469DE87-569F-441C-941F-F846E431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B38D2"/>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16B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853A734E</Template>
  <TotalTime>0</TotalTime>
  <Pages>3</Pages>
  <Words>496</Words>
  <Characters>2531</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2017-2018 Bill 872 Text of Previous Version (Jan. 9, 2018) - South Carolina Legislature Online</vt:lpstr>
    </vt:vector>
  </TitlesOfParts>
  <Company>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872 Text of Previous Version (Mar. 6, 2018) - South Carolina Legislature Online</dc:title>
  <dc:subject/>
  <dc:creator>%USERNAME%</dc:creator>
  <cp:keywords/>
  <dc:description/>
  <cp:lastModifiedBy>David Brunson</cp:lastModifiedBy>
  <cp:revision>2</cp:revision>
  <cp:lastPrinted>2018-03-06T23:11:00Z</cp:lastPrinted>
  <dcterms:created xsi:type="dcterms:W3CDTF">2018-03-06T23:19:00Z</dcterms:created>
  <dcterms:modified xsi:type="dcterms:W3CDTF">2018-03-06T23:19:00Z</dcterms:modified>
</cp:coreProperties>
</file>