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C" w:rsidRDefault="0054127C" w:rsidP="00A835E8">
      <w:pPr>
        <w:tabs>
          <w:tab w:val="right" w:pos="5933"/>
        </w:tabs>
        <w:suppressAutoHyphens/>
      </w:pPr>
      <w:r>
        <w:t>COMMITTEE AMENDMENT ADOPTED</w:t>
      </w:r>
    </w:p>
    <w:p w:rsidR="0054127C" w:rsidRDefault="0054127C" w:rsidP="00A835E8">
      <w:pPr>
        <w:tabs>
          <w:tab w:val="right" w:pos="5933"/>
        </w:tabs>
        <w:suppressAutoHyphens/>
      </w:pPr>
      <w:r>
        <w:t>February 13, 2018</w:t>
      </w:r>
    </w:p>
    <w:p w:rsidR="0054127C" w:rsidRDefault="0054127C" w:rsidP="00A835E8">
      <w:pPr>
        <w:tabs>
          <w:tab w:val="right" w:pos="5933"/>
        </w:tabs>
        <w:suppressAutoHyphens/>
      </w:pPr>
    </w:p>
    <w:p w:rsidR="00A835E8" w:rsidRPr="00A835E8" w:rsidRDefault="00A835E8" w:rsidP="00A835E8">
      <w:pPr>
        <w:tabs>
          <w:tab w:val="right" w:pos="5933"/>
        </w:tabs>
        <w:suppressAutoHyphens/>
      </w:pPr>
      <w:r>
        <w:tab/>
      </w:r>
      <w:r>
        <w:rPr>
          <w:b/>
          <w:sz w:val="36"/>
        </w:rPr>
        <w:t>S. 917</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3C00">
        <w:t>Senator</w:t>
      </w:r>
      <w:r w:rsidR="00581849">
        <w:t>s</w:t>
      </w:r>
      <w:r w:rsidRPr="006C3C00">
        <w:t xml:space="preserve"> Kimpson</w:t>
      </w:r>
      <w:r w:rsidR="00581849">
        <w:t xml:space="preserve"> and Scott</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15430B">
      <w:pPr>
        <w:tabs>
          <w:tab w:val="right" w:pos="5933"/>
        </w:tabs>
        <w:suppressAutoHyphens/>
      </w:pPr>
      <w:r>
        <w:t>S. Printed 2/</w:t>
      </w:r>
      <w:r w:rsidR="0054127C">
        <w:t>13</w:t>
      </w:r>
      <w:r>
        <w:t>/18--S.</w:t>
      </w:r>
      <w:r w:rsidR="00354FEE">
        <w:tab/>
        <w:t>[SEC 2/14/18 1:07 PM]</w:t>
      </w:r>
      <w:bookmarkStart w:id="0" w:name="_GoBack"/>
      <w:bookmarkEnd w:id="0"/>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A835E8" w:rsidRDefault="00A835E8"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5E8"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p>
    <w:p w:rsidR="0010776B"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351A"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t>SECTION</w:t>
      </w:r>
      <w:r w:rsidRPr="009867FD">
        <w:tab/>
        <w:t>1.</w:t>
      </w:r>
      <w:r w:rsidRPr="009867FD">
        <w:tab/>
      </w:r>
      <w:r>
        <w:t>A.</w:t>
      </w:r>
      <w: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530(A)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local accommodations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renourishment, or other tourism</w:t>
      </w:r>
      <w:r w:rsidRPr="009867FD">
        <w:rPr>
          <w:color w:val="000000" w:themeColor="text1"/>
          <w:u w:color="000000" w:themeColor="text1"/>
        </w:rPr>
        <w:noBreakHyphen/>
        <w:t>related lands and water access;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related demand</w:t>
      </w:r>
      <w:r w:rsidRPr="009867FD">
        <w:rPr>
          <w:color w:val="000000" w:themeColor="text1"/>
          <w:u w:val="single" w:color="000000" w:themeColor="text1"/>
        </w:rPr>
        <w:t>; or</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rPr>
        <w:t>.”</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B.</w:t>
      </w:r>
      <w:r>
        <w:rPr>
          <w:color w:val="000000" w:themeColor="text1"/>
        </w:rPr>
        <w:tab/>
        <w:t>Section 6-1-530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2.</w:t>
      </w:r>
      <w:r w:rsidRPr="009867FD">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730(A)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hospitality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and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related demand</w:t>
      </w:r>
      <w:r w:rsidRPr="009867FD">
        <w:rPr>
          <w:color w:val="000000" w:themeColor="text1"/>
          <w:u w:val="single" w:color="000000" w:themeColor="text1"/>
        </w:rPr>
        <w:t>; or</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w:t>
      </w:r>
      <w:r>
        <w:rPr>
          <w:color w:val="000000" w:themeColor="text1"/>
          <w:u w:val="single" w:color="000000" w:themeColor="text1"/>
        </w:rPr>
        <w:t>epair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sidRPr="009867FD">
        <w:rPr>
          <w:color w:val="000000" w:themeColor="text1"/>
          <w:u w:color="000000" w:themeColor="text1"/>
        </w:rPr>
        <w:t>.”</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Section 6-1-730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w:t>
      </w:r>
      <w:r w:rsidRPr="007911FE">
        <w:rPr>
          <w:color w:val="000000" w:themeColor="text1"/>
          <w:u w:color="000000" w:themeColor="text1"/>
        </w:rPr>
        <w:lastRenderedPageBreak/>
        <w:t>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3.</w:t>
      </w:r>
      <w:r w:rsidRPr="009867FD">
        <w:rPr>
          <w:color w:val="000000" w:themeColor="text1"/>
          <w:u w:color="000000" w:themeColor="text1"/>
        </w:rPr>
        <w:tab/>
        <w:t>Section 6</w:t>
      </w:r>
      <w:r w:rsidRPr="009867FD">
        <w:rPr>
          <w:color w:val="000000" w:themeColor="text1"/>
          <w:u w:color="000000" w:themeColor="text1"/>
        </w:rPr>
        <w:noBreakHyphen/>
        <w:t>4</w:t>
      </w:r>
      <w:r w:rsidRPr="009867FD">
        <w:rPr>
          <w:color w:val="000000" w:themeColor="text1"/>
          <w:u w:color="000000" w:themeColor="text1"/>
        </w:rPr>
        <w:noBreakHyphen/>
        <w:t>10(4)(b) of the 1976 Code, as last amended by Act 184 of 2014, is further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“(b)</w:t>
      </w:r>
      <w:r w:rsidRPr="009867FD">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‘Tourism</w:t>
      </w:r>
      <w:r w:rsidRPr="009867FD">
        <w:rPr>
          <w:color w:val="000000" w:themeColor="text1"/>
          <w:u w:color="000000" w:themeColor="text1"/>
        </w:rPr>
        <w:noBreakHyphen/>
        <w:t>related expenditures’ include:</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 xml:space="preserve">(i) </w:t>
      </w:r>
      <w:r w:rsidRPr="009867FD">
        <w:rPr>
          <w:color w:val="000000" w:themeColor="text1"/>
          <w:u w:color="000000" w:themeColor="text1"/>
        </w:rPr>
        <w:tab/>
        <w:t>advertising and promotion of tourism so as to develop and increase tourist attendance through the generation of publicity;</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w:t>
      </w:r>
      <w:r w:rsidRPr="009867FD">
        <w:rPr>
          <w:color w:val="000000" w:themeColor="text1"/>
          <w:u w:color="000000" w:themeColor="text1"/>
        </w:rPr>
        <w:tab/>
        <w:t>promotion of the arts and cultural events;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(iii)</w:t>
      </w:r>
      <w:r w:rsidRPr="009867FD">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(iv)</w:t>
      </w:r>
      <w:r w:rsidRPr="009867FD">
        <w:rPr>
          <w:color w:val="000000" w:themeColor="text1"/>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w:t>
      </w:r>
      <w:r w:rsidRPr="009867FD">
        <w:rPr>
          <w:color w:val="000000" w:themeColor="text1"/>
          <w:u w:color="000000" w:themeColor="text1"/>
        </w:rPr>
        <w:tab/>
        <w:t>public facilities such as restrooms, dressing rooms, parks, and parking lots;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w:t>
      </w:r>
      <w:r w:rsidRPr="009867FD">
        <w:rPr>
          <w:color w:val="000000" w:themeColor="text1"/>
          <w:u w:color="000000" w:themeColor="text1"/>
        </w:rPr>
        <w:tab/>
        <w:t>tourist shuttle transportation;</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(vii)</w:t>
      </w:r>
      <w:r w:rsidRPr="009867FD">
        <w:rPr>
          <w:color w:val="000000" w:themeColor="text1"/>
          <w:u w:color="000000" w:themeColor="text1"/>
        </w:rPr>
        <w:tab/>
        <w:t>control and repair of waterfront erosion, including beach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(viii) </w:t>
      </w:r>
      <w:r w:rsidRPr="009867FD">
        <w:rPr>
          <w:color w:val="000000" w:themeColor="text1"/>
          <w:u w:color="000000" w:themeColor="text1"/>
        </w:rPr>
        <w:t>operating visitor information centers</w:t>
      </w:r>
      <w:r w:rsidRPr="009867FD">
        <w:rPr>
          <w:color w:val="000000" w:themeColor="text1"/>
          <w:u w:val="single" w:color="000000" w:themeColor="text1"/>
        </w:rPr>
        <w: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(ix)</w:t>
      </w:r>
      <w:r w:rsidRPr="009867FD">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color="000000" w:themeColor="text1"/>
        </w:rPr>
        <w:t>.</w:t>
      </w: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3D63B1">
        <w:rPr>
          <w:color w:val="000000" w:themeColor="text1"/>
          <w:u w:val="single"/>
        </w:rPr>
        <w:t xml:space="preserve">If </w:t>
      </w:r>
      <w:r w:rsidRPr="002B2BD1">
        <w:rPr>
          <w:color w:val="000000" w:themeColor="text1"/>
          <w:u w:val="single"/>
        </w:rPr>
        <w:t>applying the provisions of item (b)(ix) relating to flo</w:t>
      </w:r>
      <w:r>
        <w:rPr>
          <w:color w:val="000000" w:themeColor="text1"/>
          <w:u w:val="single"/>
        </w:rPr>
        <w:t>o</w:t>
      </w:r>
      <w:r w:rsidRPr="002B2BD1">
        <w:rPr>
          <w:color w:val="000000" w:themeColor="text1"/>
          <w:u w:val="single"/>
        </w:rPr>
        <w:t xml:space="preserve">ding and drainage, the revenues must be expended exclusively on public </w:t>
      </w:r>
      <w:r w:rsidRPr="002B2BD1">
        <w:rPr>
          <w:color w:val="000000" w:themeColor="text1"/>
          <w:u w:val="single"/>
        </w:rPr>
        <w:lastRenderedPageBreak/>
        <w:t>works projects designed to eliminate or mitigate adverse effects of recurrent nuisance tidal flooding</w:t>
      </w:r>
      <w:r>
        <w:rPr>
          <w:color w:val="000000" w:themeColor="text1"/>
          <w:u w:val="single"/>
        </w:rPr>
        <w:t>,</w:t>
      </w:r>
      <w:r w:rsidRPr="002B2BD1">
        <w:rPr>
          <w:color w:val="000000" w:themeColor="text1"/>
          <w:u w:val="single"/>
        </w:rPr>
        <w:t xml:space="preserve"> </w:t>
      </w:r>
      <w:r>
        <w:rPr>
          <w:color w:val="000000" w:themeColor="text1"/>
          <w:u w:val="single"/>
        </w:rPr>
        <w:t>including that which is</w:t>
      </w:r>
      <w:r w:rsidRPr="002B2BD1">
        <w:rPr>
          <w:color w:val="000000" w:themeColor="text1"/>
          <w:u w:val="single"/>
        </w:rPr>
        <w:t xml:space="preserve"> attribuble to sea-level rise, or other recurrent flooding.  Such adverse effects include road closures and other transportation disruptions, storm</w:t>
      </w:r>
      <w:r w:rsidRPr="002B2BD1">
        <w:rPr>
          <w:color w:val="000000" w:themeColor="text1"/>
          <w:u w:val="single"/>
        </w:rPr>
        <w:noBreakHyphen/>
        <w:t>water drainage issues, and compromised public infrastructure.  The public works projects must b</w:t>
      </w:r>
      <w:r>
        <w:rPr>
          <w:color w:val="000000" w:themeColor="text1"/>
          <w:u w:val="single"/>
        </w:rPr>
        <w:t>e within or on tourism-</w:t>
      </w:r>
      <w:r w:rsidRPr="002B2BD1">
        <w:rPr>
          <w:color w:val="000000" w:themeColor="text1"/>
          <w:u w:val="single"/>
        </w:rPr>
        <w:t>related lands or areas. Revenues must not be used to pay claims or otherwise settle litigation that may arise from time to time due to the harmful impacts of nuisance or other flooding.</w:t>
      </w:r>
      <w:r>
        <w:rPr>
          <w:color w:val="000000" w:themeColor="text1"/>
          <w:u w:color="000000" w:themeColor="text1"/>
        </w:rPr>
        <w:t xml:space="preserve">”  </w:t>
      </w:r>
    </w:p>
    <w:p w:rsidR="0046351A" w:rsidRPr="003D63B1"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222DC6"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t>4.</w:t>
      </w:r>
      <w:r w:rsidRPr="009867FD">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BB2" w:rsidRDefault="00F42BB2" w:rsidP="00F42BB2">
      <w:pPr>
        <w:suppressAutoHyphens/>
      </w:pPr>
    </w:p>
    <w:sectPr w:rsidR="00F42BB2"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8377A5-E8C4-4C88-86F3-AA35A0763564}"/>
    <w:embedBold r:id="rId2" w:fontKey="{A57AFE8C-1DE0-4199-A9DC-FAEA74B402CF}"/>
  </w:font>
  <w:font w:name="Calibri">
    <w:panose1 w:val="020F0502020204030204"/>
    <w:charset w:val="00"/>
    <w:family w:val="swiss"/>
    <w:pitch w:val="variable"/>
    <w:sig w:usb0="E00002FF" w:usb1="4000ACFF" w:usb2="00000001" w:usb3="00000000" w:csb0="0000019F" w:csb1="00000000"/>
    <w:embedRegular r:id="rId3" w:fontKey="{4448D964-4ECA-4C50-906C-1CA23829F205}"/>
  </w:font>
  <w:font w:name="Cambria">
    <w:panose1 w:val="02040503050406030204"/>
    <w:charset w:val="00"/>
    <w:family w:val="roman"/>
    <w:pitch w:val="variable"/>
    <w:sig w:usb0="E00002FF" w:usb1="400004FF" w:usb2="00000000" w:usb3="00000000" w:csb0="0000019F" w:csb1="00000000"/>
    <w:embedRegular r:id="rId4" w:fontKey="{5DAC0C2F-2540-489D-BE5C-A8F1337D9C42}"/>
  </w:font>
  <w:font w:name="Segoe UI">
    <w:panose1 w:val="020B0502040204020203"/>
    <w:charset w:val="00"/>
    <w:family w:val="swiss"/>
    <w:pitch w:val="variable"/>
    <w:sig w:usb0="E10022FF" w:usb1="C000E47F" w:usb2="00000029" w:usb3="00000000" w:csb0="000001DF" w:csb1="00000000"/>
    <w:embedRegular r:id="rId5" w:fontKey="{A7F8D014-607D-4763-94C8-60F1E2EDF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354FEE">
      <w:rPr>
        <w:noProof/>
      </w:rPr>
      <w:t>1</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354FEE">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430B"/>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07FF2"/>
    <w:rsid w:val="00325348"/>
    <w:rsid w:val="00354FEE"/>
    <w:rsid w:val="00393688"/>
    <w:rsid w:val="003D411E"/>
    <w:rsid w:val="003E3C1E"/>
    <w:rsid w:val="003E6148"/>
    <w:rsid w:val="003E7D04"/>
    <w:rsid w:val="00400EAA"/>
    <w:rsid w:val="0041760A"/>
    <w:rsid w:val="004203D7"/>
    <w:rsid w:val="0046351A"/>
    <w:rsid w:val="004809EE"/>
    <w:rsid w:val="004979B0"/>
    <w:rsid w:val="004B2A8B"/>
    <w:rsid w:val="00511EE9"/>
    <w:rsid w:val="00521E00"/>
    <w:rsid w:val="0054127C"/>
    <w:rsid w:val="00544190"/>
    <w:rsid w:val="00577C6C"/>
    <w:rsid w:val="00581849"/>
    <w:rsid w:val="0058501B"/>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D4B17"/>
    <w:rsid w:val="00AF4EEC"/>
    <w:rsid w:val="00B26FA6"/>
    <w:rsid w:val="00B741CB"/>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F3EEE"/>
    <w:rsid w:val="00F149A7"/>
    <w:rsid w:val="00F42BB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DDF1F-2ABC-4698-A095-6F87ECA2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B154670F.dotm</Template>
  <TotalTime>0</TotalTime>
  <Pages>5</Pages>
  <Words>980</Words>
  <Characters>5553</Characters>
  <Application>Microsoft Office Word</Application>
  <DocSecurity>0</DocSecurity>
  <Lines>158</Lines>
  <Paragraphs>58</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(Feb. 14, 2018) - South Carolina Legislature Online</dc:title>
  <dc:subject/>
  <dc:creator>BRENDA MELTON</dc:creator>
  <cp:keywords/>
  <dc:description/>
  <cp:lastModifiedBy>Lavarres Lynch</cp:lastModifiedBy>
  <cp:revision>3</cp:revision>
  <cp:lastPrinted>2018-02-08T00:06:00Z</cp:lastPrinted>
  <dcterms:created xsi:type="dcterms:W3CDTF">2018-02-14T18:06:00Z</dcterms:created>
  <dcterms:modified xsi:type="dcterms:W3CDTF">2018-02-14T18:09:00Z</dcterms:modified>
</cp:coreProperties>
</file>