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23B" w:rsidRDefault="00A5423B" w:rsidP="00A5423B">
      <w:pPr>
        <w:widowControl w:val="0"/>
        <w:jc w:val="center"/>
      </w:pPr>
      <w:r w:rsidRPr="00A5423B">
        <w:rPr>
          <w:b/>
        </w:rPr>
        <w:t>South Carolina General Assembly</w:t>
      </w:r>
    </w:p>
    <w:p w:rsidR="00A5423B" w:rsidRDefault="00A5423B" w:rsidP="00A5423B">
      <w:pPr>
        <w:widowControl w:val="0"/>
        <w:jc w:val="center"/>
      </w:pPr>
      <w:r>
        <w:t>123rd Session, 2019-2020</w:t>
      </w:r>
    </w:p>
    <w:p w:rsidR="00A5423B" w:rsidRDefault="00A5423B" w:rsidP="00A5423B">
      <w:pPr>
        <w:widowControl w:val="0"/>
      </w:pPr>
    </w:p>
    <w:p w:rsidR="00A5423B" w:rsidRDefault="00A5423B" w:rsidP="00A5423B">
      <w:pPr>
        <w:widowControl w:val="0"/>
        <w:rPr>
          <w:b/>
        </w:rPr>
      </w:pPr>
      <w:r w:rsidRPr="00A5423B">
        <w:rPr>
          <w:b/>
        </w:rPr>
        <w:t>S.</w:t>
      </w:r>
      <w:r>
        <w:rPr>
          <w:b/>
        </w:rPr>
        <w:t xml:space="preserve"> </w:t>
      </w:r>
      <w:r w:rsidRPr="00A5423B">
        <w:rPr>
          <w:b/>
        </w:rPr>
        <w:t>122</w:t>
      </w:r>
    </w:p>
    <w:p w:rsidR="00A5423B" w:rsidRDefault="00A5423B" w:rsidP="00A5423B">
      <w:pPr>
        <w:widowControl w:val="0"/>
        <w:rPr>
          <w:b/>
        </w:rPr>
      </w:pPr>
    </w:p>
    <w:p w:rsidR="00A5423B" w:rsidRDefault="00A5423B" w:rsidP="00A5423B">
      <w:pPr>
        <w:widowControl w:val="0"/>
      </w:pPr>
      <w:r w:rsidRPr="00A5423B">
        <w:rPr>
          <w:b/>
        </w:rPr>
        <w:t>STATUS INFORMATION</w:t>
      </w:r>
    </w:p>
    <w:p w:rsidR="00A5423B" w:rsidRDefault="00A5423B" w:rsidP="00A5423B">
      <w:pPr>
        <w:widowControl w:val="0"/>
      </w:pPr>
    </w:p>
    <w:p w:rsidR="00A5423B" w:rsidRDefault="00A5423B" w:rsidP="00A5423B">
      <w:pPr>
        <w:widowControl w:val="0"/>
      </w:pPr>
      <w:r>
        <w:t>General Bill</w:t>
      </w:r>
    </w:p>
    <w:p w:rsidR="00A5423B" w:rsidRDefault="00F75A3A" w:rsidP="00A5423B">
      <w:pPr>
        <w:widowControl w:val="0"/>
      </w:pPr>
      <w:r>
        <w:t>Sponsors: Senators Massey and Young</w:t>
      </w:r>
    </w:p>
    <w:p w:rsidR="00A5423B" w:rsidRDefault="00A5423B" w:rsidP="00A5423B">
      <w:pPr>
        <w:widowControl w:val="0"/>
      </w:pPr>
      <w:r>
        <w:t>Document Path: l:\s-res\asm\013roll.sp.asm.docx</w:t>
      </w:r>
    </w:p>
    <w:p w:rsidR="00A5423B" w:rsidRDefault="00A5423B" w:rsidP="00A5423B">
      <w:pPr>
        <w:widowControl w:val="0"/>
      </w:pPr>
    </w:p>
    <w:p w:rsidR="00AD068F" w:rsidRDefault="00AD068F" w:rsidP="00A5423B">
      <w:pPr>
        <w:widowControl w:val="0"/>
      </w:pPr>
      <w:r>
        <w:t>Introduced in the Senate on January 8, 2019</w:t>
      </w:r>
    </w:p>
    <w:p w:rsidR="00AD068F" w:rsidRPr="00AD068F" w:rsidRDefault="00AD068F" w:rsidP="00A5423B">
      <w:pPr>
        <w:widowControl w:val="0"/>
      </w:pPr>
      <w:r>
        <w:t xml:space="preserve">Currently residing in the Senate Committee on </w:t>
      </w:r>
      <w:r w:rsidRPr="00AD068F">
        <w:rPr>
          <w:b/>
        </w:rPr>
        <w:t>Finance</w:t>
      </w:r>
    </w:p>
    <w:p w:rsidR="00AD068F" w:rsidRDefault="00AD068F" w:rsidP="00A5423B">
      <w:pPr>
        <w:widowControl w:val="0"/>
      </w:pPr>
    </w:p>
    <w:p w:rsidR="00A5423B" w:rsidRDefault="00A5423B" w:rsidP="00A5423B">
      <w:pPr>
        <w:widowControl w:val="0"/>
      </w:pPr>
      <w:r>
        <w:t xml:space="preserve">Summary: </w:t>
      </w:r>
      <w:r w:rsidR="00725907">
        <w:t>Roll-back property tax</w:t>
      </w:r>
    </w:p>
    <w:p w:rsidR="00A5423B" w:rsidRDefault="00A5423B" w:rsidP="00A5423B">
      <w:pPr>
        <w:widowControl w:val="0"/>
      </w:pPr>
    </w:p>
    <w:p w:rsidR="00A5423B" w:rsidRDefault="00A5423B" w:rsidP="00A5423B">
      <w:pPr>
        <w:widowControl w:val="0"/>
      </w:pPr>
    </w:p>
    <w:p w:rsidR="00A5423B" w:rsidRDefault="00A5423B" w:rsidP="00A5423B">
      <w:pPr>
        <w:widowControl w:val="0"/>
        <w:tabs>
          <w:tab w:val="center" w:pos="590"/>
          <w:tab w:val="center" w:pos="1440"/>
          <w:tab w:val="left" w:pos="1872"/>
          <w:tab w:val="left" w:pos="9187"/>
        </w:tabs>
      </w:pPr>
      <w:r w:rsidRPr="00A5423B">
        <w:rPr>
          <w:b/>
        </w:rPr>
        <w:t>HISTORY OF LEGISLATIVE ACTIONS</w:t>
      </w:r>
    </w:p>
    <w:p w:rsidR="00A5423B" w:rsidRDefault="00A5423B" w:rsidP="00A5423B">
      <w:pPr>
        <w:widowControl w:val="0"/>
        <w:tabs>
          <w:tab w:val="center" w:pos="590"/>
          <w:tab w:val="center" w:pos="1440"/>
          <w:tab w:val="left" w:pos="1872"/>
          <w:tab w:val="left" w:pos="9187"/>
        </w:tabs>
      </w:pPr>
    </w:p>
    <w:p w:rsidR="00A5423B" w:rsidRPr="00A5423B" w:rsidRDefault="00A5423B" w:rsidP="00A5423B">
      <w:pPr>
        <w:widowControl w:val="0"/>
        <w:tabs>
          <w:tab w:val="center" w:pos="590"/>
          <w:tab w:val="center" w:pos="1440"/>
          <w:tab w:val="left" w:pos="1872"/>
          <w:tab w:val="left" w:pos="9187"/>
        </w:tabs>
      </w:pPr>
      <w:r w:rsidRPr="00A5423B">
        <w:rPr>
          <w:u w:val="single"/>
        </w:rPr>
        <w:tab/>
        <w:t>Date</w:t>
      </w:r>
      <w:r w:rsidRPr="00A5423B">
        <w:rPr>
          <w:u w:val="single"/>
        </w:rPr>
        <w:tab/>
        <w:t>Body</w:t>
      </w:r>
      <w:r w:rsidRPr="00A5423B">
        <w:rPr>
          <w:u w:val="single"/>
        </w:rPr>
        <w:tab/>
        <w:t>Action Description with journal page number</w:t>
      </w:r>
      <w:r w:rsidRPr="00A5423B">
        <w:rPr>
          <w:u w:val="single"/>
        </w:rPr>
        <w:tab/>
      </w:r>
    </w:p>
    <w:p w:rsidR="00F0584F" w:rsidRDefault="00F0584F" w:rsidP="00F0584F">
      <w:pPr>
        <w:widowControl w:val="0"/>
        <w:tabs>
          <w:tab w:val="right" w:pos="1008"/>
          <w:tab w:val="left" w:pos="1152"/>
          <w:tab w:val="left" w:pos="1872"/>
          <w:tab w:val="left" w:pos="9187"/>
        </w:tabs>
        <w:ind w:left="2088" w:hanging="2088"/>
      </w:pPr>
      <w:r>
        <w:tab/>
        <w:t>12/12/2018</w:t>
      </w:r>
      <w:r>
        <w:tab/>
        <w:t>Senate</w:t>
      </w:r>
      <w:r>
        <w:tab/>
      </w:r>
      <w:r w:rsidRPr="006363C1">
        <w:t>Prefiled</w:t>
      </w:r>
    </w:p>
    <w:p w:rsidR="00F0584F" w:rsidRDefault="00F0584F" w:rsidP="00F0584F">
      <w:pPr>
        <w:widowControl w:val="0"/>
        <w:tabs>
          <w:tab w:val="right" w:pos="1008"/>
          <w:tab w:val="left" w:pos="1152"/>
          <w:tab w:val="left" w:pos="1872"/>
          <w:tab w:val="left" w:pos="9187"/>
        </w:tabs>
        <w:ind w:left="2088" w:hanging="2088"/>
      </w:pPr>
      <w:r>
        <w:tab/>
        <w:t>12/12/2018</w:t>
      </w:r>
      <w:r>
        <w:tab/>
        <w:t>Senate</w:t>
      </w:r>
      <w:r>
        <w:tab/>
      </w:r>
      <w:r w:rsidRPr="006363C1">
        <w:t xml:space="preserve">Referred to Committee on </w:t>
      </w:r>
      <w:r w:rsidRPr="006363C1">
        <w:rPr>
          <w:b/>
        </w:rPr>
        <w:t>Finance</w:t>
      </w:r>
    </w:p>
    <w:p w:rsidR="00F0584F" w:rsidRDefault="00F0584F" w:rsidP="00F0584F">
      <w:pPr>
        <w:widowControl w:val="0"/>
        <w:tabs>
          <w:tab w:val="right" w:pos="1008"/>
          <w:tab w:val="left" w:pos="1152"/>
          <w:tab w:val="left" w:pos="1872"/>
          <w:tab w:val="left" w:pos="9187"/>
        </w:tabs>
        <w:ind w:left="2088" w:hanging="2088"/>
      </w:pPr>
      <w:r>
        <w:tab/>
        <w:t>1/8/2019</w:t>
      </w:r>
      <w:r>
        <w:tab/>
        <w:t>Senate</w:t>
      </w:r>
      <w:r>
        <w:tab/>
      </w:r>
      <w:r w:rsidRPr="006363C1">
        <w:t>Introduced and read first time (</w:t>
      </w:r>
      <w:hyperlink r:id="rId6" w:history="1">
        <w:r w:rsidRPr="006363C1">
          <w:rPr>
            <w:rStyle w:val="Hyperlink"/>
          </w:rPr>
          <w:t>Senate Journal</w:t>
        </w:r>
        <w:r w:rsidRPr="006363C1">
          <w:rPr>
            <w:rStyle w:val="Hyperlink"/>
          </w:rPr>
          <w:noBreakHyphen/>
          <w:t>page 97</w:t>
        </w:r>
      </w:hyperlink>
      <w:r w:rsidRPr="006363C1">
        <w:t>)</w:t>
      </w:r>
    </w:p>
    <w:p w:rsidR="00F0584F" w:rsidRDefault="00F0584F" w:rsidP="00F0584F">
      <w:pPr>
        <w:widowControl w:val="0"/>
        <w:tabs>
          <w:tab w:val="right" w:pos="1008"/>
          <w:tab w:val="left" w:pos="1152"/>
          <w:tab w:val="left" w:pos="1872"/>
          <w:tab w:val="left" w:pos="9187"/>
        </w:tabs>
        <w:ind w:left="2088" w:hanging="2088"/>
      </w:pPr>
      <w:r>
        <w:tab/>
        <w:t>1/8/2019</w:t>
      </w:r>
      <w:r>
        <w:tab/>
        <w:t>Senate</w:t>
      </w:r>
      <w:r>
        <w:tab/>
      </w:r>
      <w:r w:rsidRPr="006363C1">
        <w:t>Referred to Committee on</w:t>
      </w:r>
      <w:r>
        <w:t xml:space="preserve"> </w:t>
      </w:r>
      <w:r w:rsidRPr="006363C1">
        <w:rPr>
          <w:b/>
        </w:rPr>
        <w:t>Finance</w:t>
      </w:r>
      <w:r>
        <w:t xml:space="preserve"> </w:t>
      </w:r>
      <w:r w:rsidRPr="006363C1">
        <w:t>(</w:t>
      </w:r>
      <w:hyperlink r:id="rId7" w:history="1">
        <w:r w:rsidRPr="006363C1">
          <w:rPr>
            <w:rStyle w:val="Hyperlink"/>
          </w:rPr>
          <w:t>Senate Journal</w:t>
        </w:r>
        <w:r w:rsidRPr="006363C1">
          <w:rPr>
            <w:rStyle w:val="Hyperlink"/>
          </w:rPr>
          <w:noBreakHyphen/>
          <w:t>page 97</w:t>
        </w:r>
      </w:hyperlink>
      <w:r w:rsidRPr="006363C1">
        <w:t>)</w:t>
      </w:r>
    </w:p>
    <w:p w:rsidR="00F0584F" w:rsidRDefault="00F0584F" w:rsidP="00F0584F">
      <w:pPr>
        <w:widowControl w:val="0"/>
        <w:tabs>
          <w:tab w:val="right" w:pos="1008"/>
          <w:tab w:val="left" w:pos="1152"/>
          <w:tab w:val="left" w:pos="1872"/>
          <w:tab w:val="left" w:pos="9187"/>
        </w:tabs>
        <w:ind w:left="2088" w:hanging="2088"/>
      </w:pPr>
    </w:p>
    <w:p w:rsidR="00A5423B" w:rsidRDefault="00A5423B" w:rsidP="00A5423B">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5423B">
          <w:rPr>
            <w:rStyle w:val="Hyperlink"/>
          </w:rPr>
          <w:t>legislative information</w:t>
        </w:r>
      </w:hyperlink>
      <w:r>
        <w:t xml:space="preserve"> at the website</w:t>
      </w:r>
    </w:p>
    <w:p w:rsidR="00A5423B" w:rsidRDefault="00A5423B" w:rsidP="00A5423B">
      <w:pPr>
        <w:widowControl w:val="0"/>
        <w:tabs>
          <w:tab w:val="right" w:pos="1008"/>
          <w:tab w:val="left" w:pos="1152"/>
          <w:tab w:val="left" w:pos="1872"/>
          <w:tab w:val="left" w:pos="9187"/>
        </w:tabs>
        <w:ind w:left="2088" w:hanging="2088"/>
      </w:pPr>
    </w:p>
    <w:p w:rsidR="00A5423B" w:rsidRPr="00A5423B" w:rsidRDefault="00A5423B" w:rsidP="00A5423B">
      <w:pPr>
        <w:widowControl w:val="0"/>
        <w:tabs>
          <w:tab w:val="right" w:pos="1008"/>
          <w:tab w:val="left" w:pos="1152"/>
          <w:tab w:val="left" w:pos="1872"/>
          <w:tab w:val="left" w:pos="9187"/>
        </w:tabs>
        <w:ind w:left="2088" w:hanging="2088"/>
      </w:pPr>
    </w:p>
    <w:p w:rsidR="00A5423B" w:rsidRDefault="00A5423B" w:rsidP="00A5423B">
      <w:pPr>
        <w:widowControl w:val="0"/>
      </w:pPr>
      <w:r w:rsidRPr="00A5423B">
        <w:rPr>
          <w:b/>
        </w:rPr>
        <w:t>VERSIONS OF THIS BILL</w:t>
      </w:r>
    </w:p>
    <w:p w:rsidR="00A5423B" w:rsidRDefault="00A5423B" w:rsidP="00A5423B">
      <w:pPr>
        <w:widowControl w:val="0"/>
      </w:pPr>
    </w:p>
    <w:p w:rsidR="00A5423B" w:rsidRDefault="00252006" w:rsidP="00A5423B">
      <w:pPr>
        <w:widowControl w:val="0"/>
      </w:pPr>
      <w:hyperlink r:id="rId9" w:history="1">
        <w:r w:rsidR="00A5423B">
          <w:rPr>
            <w:rStyle w:val="Hyperlink"/>
          </w:rPr>
          <w:t>12/12/2018</w:t>
        </w:r>
      </w:hyperlink>
    </w:p>
    <w:p w:rsidR="00A5423B" w:rsidRDefault="00A5423B" w:rsidP="00A5423B"/>
    <w:p w:rsidR="00A5423B" w:rsidRDefault="00A5423B" w:rsidP="00A5423B">
      <w:pPr>
        <w:sectPr w:rsidR="00A5423B" w:rsidSect="00A5423B">
          <w:pgSz w:w="12240" w:h="15840" w:code="1"/>
          <w:pgMar w:top="1080" w:right="1440" w:bottom="1080" w:left="1440" w:header="720" w:footer="720" w:gutter="0"/>
          <w:cols w:space="720"/>
          <w:noEndnote/>
          <w:docGrid w:linePitch="360"/>
        </w:sectPr>
      </w:pPr>
    </w:p>
    <w:p w:rsidR="00E66532" w:rsidRPr="00522CE0" w:rsidRDefault="00E6653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65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51CB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E0304"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8832B7">
        <w:rPr>
          <w:color w:val="000000" w:themeColor="text1"/>
          <w:u w:color="000000" w:themeColor="text1"/>
        </w:rPr>
        <w:t>TO AMEND SECTION 12</w:t>
      </w:r>
      <w:r w:rsidR="000668B2">
        <w:rPr>
          <w:color w:val="000000" w:themeColor="text1"/>
          <w:u w:color="000000" w:themeColor="text1"/>
        </w:rPr>
        <w:noBreakHyphen/>
      </w:r>
      <w:r w:rsidRPr="008832B7">
        <w:rPr>
          <w:color w:val="000000" w:themeColor="text1"/>
          <w:u w:color="000000" w:themeColor="text1"/>
        </w:rPr>
        <w:t>43</w:t>
      </w:r>
      <w:r w:rsidR="000668B2">
        <w:rPr>
          <w:color w:val="000000" w:themeColor="text1"/>
          <w:u w:color="000000" w:themeColor="text1"/>
        </w:rPr>
        <w:noBreakHyphen/>
      </w:r>
      <w:r w:rsidRPr="008832B7">
        <w:rPr>
          <w:color w:val="000000" w:themeColor="text1"/>
          <w:u w:color="000000" w:themeColor="text1"/>
        </w:rPr>
        <w:t>220(d)(4) OF THE 1976 CODE, RELATING TO ROLL</w:t>
      </w:r>
      <w:r w:rsidR="000668B2">
        <w:rPr>
          <w:color w:val="000000" w:themeColor="text1"/>
          <w:u w:color="000000" w:themeColor="text1"/>
        </w:rPr>
        <w:noBreakHyphen/>
      </w:r>
      <w:r w:rsidRPr="008832B7">
        <w:rPr>
          <w:color w:val="000000" w:themeColor="text1"/>
          <w:u w:color="000000" w:themeColor="text1"/>
        </w:rPr>
        <w:t>BACK PROPERTY TAXES, TO PROVIDE FOR THE APPLICABILITY OF ROLL</w:t>
      </w:r>
      <w:r w:rsidR="000668B2">
        <w:rPr>
          <w:color w:val="000000" w:themeColor="text1"/>
          <w:u w:color="000000" w:themeColor="text1"/>
        </w:rPr>
        <w:noBreakHyphen/>
      </w:r>
      <w:r w:rsidRPr="008832B7">
        <w:rPr>
          <w:color w:val="000000" w:themeColor="text1"/>
          <w:u w:color="000000" w:themeColor="text1"/>
        </w:rPr>
        <w:t>BACK TAXES TO CERTAIN PROPERTY THAT IS NO LONGER USED AS AGRICULTURAL PROPERTY.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51CB0" w:rsidRDefault="00451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51CB0" w:rsidRDefault="00451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304" w:rsidRPr="008832B7" w:rsidRDefault="00451CB0"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0304" w:rsidRPr="008832B7">
        <w:rPr>
          <w:color w:val="000000" w:themeColor="text1"/>
          <w:u w:color="000000" w:themeColor="text1"/>
        </w:rPr>
        <w:t>Section 12</w:t>
      </w:r>
      <w:r w:rsidR="000668B2">
        <w:rPr>
          <w:color w:val="000000" w:themeColor="text1"/>
          <w:u w:color="000000" w:themeColor="text1"/>
        </w:rPr>
        <w:noBreakHyphen/>
      </w:r>
      <w:r w:rsidR="000E0304" w:rsidRPr="008832B7">
        <w:rPr>
          <w:color w:val="000000" w:themeColor="text1"/>
          <w:u w:color="000000" w:themeColor="text1"/>
        </w:rPr>
        <w:t>43</w:t>
      </w:r>
      <w:r w:rsidR="000668B2">
        <w:rPr>
          <w:color w:val="000000" w:themeColor="text1"/>
          <w:u w:color="000000" w:themeColor="text1"/>
        </w:rPr>
        <w:noBreakHyphen/>
      </w:r>
      <w:r w:rsidR="000E0304" w:rsidRPr="008832B7">
        <w:rPr>
          <w:color w:val="000000" w:themeColor="text1"/>
          <w:u w:color="000000" w:themeColor="text1"/>
        </w:rPr>
        <w:t>220(d)(4) of the 1976 Code is amended to read:</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t>“(4)</w:t>
      </w:r>
      <w:r w:rsidRPr="008832B7">
        <w:rPr>
          <w:color w:val="000000" w:themeColor="text1"/>
          <w:u w:val="single" w:color="000000" w:themeColor="text1"/>
        </w:rPr>
        <w:t>(A)</w:t>
      </w:r>
      <w:r w:rsidRPr="008832B7">
        <w:rPr>
          <w:color w:val="000000" w:themeColor="text1"/>
          <w:u w:color="000000" w:themeColor="text1"/>
        </w:rPr>
        <w:tab/>
        <w:t>Except as provided pursuant to Section 12</w:t>
      </w:r>
      <w:r w:rsidR="000668B2">
        <w:rPr>
          <w:color w:val="000000" w:themeColor="text1"/>
          <w:u w:color="000000" w:themeColor="text1"/>
        </w:rPr>
        <w:noBreakHyphen/>
      </w:r>
      <w:r w:rsidRPr="008832B7">
        <w:rPr>
          <w:color w:val="000000" w:themeColor="text1"/>
          <w:u w:color="000000" w:themeColor="text1"/>
        </w:rPr>
        <w:t>43</w:t>
      </w:r>
      <w:r w:rsidR="000668B2">
        <w:rPr>
          <w:color w:val="000000" w:themeColor="text1"/>
          <w:u w:color="000000" w:themeColor="text1"/>
        </w:rPr>
        <w:noBreakHyphen/>
      </w:r>
      <w:r w:rsidRPr="008832B7">
        <w:rPr>
          <w:color w:val="000000" w:themeColor="text1"/>
          <w:u w:color="000000" w:themeColor="text1"/>
        </w:rPr>
        <w:t>222, when real property which is in agricultural use and is being valued, assessed, and taxed under the provisions of this article, is applied to a use other than agricultural, it is subject to additional taxes, hereinafter referred to as roll</w:t>
      </w:r>
      <w:r w:rsidR="000668B2">
        <w:rPr>
          <w:color w:val="000000" w:themeColor="text1"/>
          <w:u w:color="000000" w:themeColor="text1"/>
        </w:rPr>
        <w:noBreakHyphen/>
      </w:r>
      <w:r w:rsidRPr="008832B7">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0668B2">
        <w:rPr>
          <w:color w:val="000000" w:themeColor="text1"/>
          <w:u w:color="000000" w:themeColor="text1"/>
        </w:rPr>
        <w:noBreakHyphen/>
      </w:r>
      <w:r w:rsidRPr="008832B7">
        <w:rPr>
          <w:color w:val="000000" w:themeColor="text1"/>
          <w:u w:color="000000" w:themeColor="text1"/>
        </w:rPr>
        <w:t>back taxes for each of the five tax years immediately preceding in which the real property was valued, assessed, and taxed hereunder. In determining the amounts of the roll</w:t>
      </w:r>
      <w:r w:rsidR="000668B2">
        <w:rPr>
          <w:color w:val="000000" w:themeColor="text1"/>
          <w:u w:color="000000" w:themeColor="text1"/>
        </w:rPr>
        <w:noBreakHyphen/>
      </w:r>
      <w:r w:rsidRPr="008832B7">
        <w:rPr>
          <w:color w:val="000000" w:themeColor="text1"/>
          <w:u w:color="000000" w:themeColor="text1"/>
        </w:rPr>
        <w:t>back taxes chargeable on real property which has undergone a change in use, the assessor shall for each of the roll</w:t>
      </w:r>
      <w:r w:rsidR="000668B2">
        <w:rPr>
          <w:color w:val="000000" w:themeColor="text1"/>
          <w:u w:color="000000" w:themeColor="text1"/>
        </w:rPr>
        <w:noBreakHyphen/>
      </w:r>
      <w:r w:rsidRPr="008832B7">
        <w:rPr>
          <w:color w:val="000000" w:themeColor="text1"/>
          <w:u w:color="000000" w:themeColor="text1"/>
        </w:rPr>
        <w:t>back tax years involved ascertain:</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lastRenderedPageBreak/>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(A)</w:t>
      </w:r>
      <w:r w:rsidRPr="008832B7">
        <w:rPr>
          <w:color w:val="000000" w:themeColor="text1"/>
          <w:u w:val="single" w:color="000000" w:themeColor="text1"/>
        </w:rPr>
        <w:t>(i)</w:t>
      </w:r>
      <w:r w:rsidRPr="008832B7">
        <w:rPr>
          <w:color w:val="000000" w:themeColor="text1"/>
          <w:u w:color="000000" w:themeColor="text1"/>
        </w:rPr>
        <w:tab/>
        <w:t>the fair market value without consideration of the standing timber of such real property under the valuation standard applicable to other real property in the same classification;</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(B)</w:t>
      </w:r>
      <w:r w:rsidRPr="008832B7">
        <w:rPr>
          <w:color w:val="000000" w:themeColor="text1"/>
          <w:u w:val="single" w:color="000000" w:themeColor="text1"/>
        </w:rPr>
        <w:t>(ii)</w:t>
      </w:r>
      <w:r w:rsidRPr="008832B7">
        <w:rPr>
          <w:color w:val="000000" w:themeColor="text1"/>
          <w:u w:color="000000" w:themeColor="text1"/>
        </w:rPr>
        <w:tab/>
        <w:t>the amount of the real property assessment for the particular tax year by multiplying such fair market value by the appropriate assessment ratio provided in this article;</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(C)</w:t>
      </w:r>
      <w:r w:rsidRPr="008832B7">
        <w:rPr>
          <w:color w:val="000000" w:themeColor="text1"/>
          <w:u w:val="single" w:color="000000" w:themeColor="text1"/>
        </w:rPr>
        <w:t>(iii)</w:t>
      </w:r>
      <w:r w:rsidRPr="008832B7">
        <w:rPr>
          <w:color w:val="000000" w:themeColor="text1"/>
          <w:u w:color="000000" w:themeColor="text1"/>
        </w:rPr>
        <w:tab/>
        <w:t xml:space="preserve">the amount of the additional assessment on the real property for the particular tax year by deducting the amount of the actual assessment on the real property for that year from the amount of the real property assessment determined under </w:t>
      </w:r>
      <w:r w:rsidRPr="008832B7">
        <w:rPr>
          <w:strike/>
          <w:color w:val="000000" w:themeColor="text1"/>
          <w:u w:color="000000" w:themeColor="text1"/>
        </w:rPr>
        <w:t>(B)</w:t>
      </w:r>
      <w:r w:rsidRPr="008832B7">
        <w:rPr>
          <w:color w:val="000000" w:themeColor="text1"/>
          <w:u w:color="000000" w:themeColor="text1"/>
        </w:rPr>
        <w:t xml:space="preserve"> </w:t>
      </w:r>
      <w:r w:rsidRPr="008832B7">
        <w:rPr>
          <w:color w:val="000000" w:themeColor="text1"/>
          <w:u w:val="single" w:color="000000" w:themeColor="text1"/>
        </w:rPr>
        <w:t>(ii)</w:t>
      </w:r>
      <w:r w:rsidRPr="008832B7">
        <w:rPr>
          <w:color w:val="000000" w:themeColor="text1"/>
          <w:u w:color="000000" w:themeColor="text1"/>
        </w:rPr>
        <w:t xml:space="preserve"> of this section;</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color="000000" w:themeColor="text1"/>
        </w:rPr>
        <w:tab/>
      </w:r>
      <w:r w:rsidRPr="008832B7">
        <w:rPr>
          <w:strike/>
          <w:color w:val="000000" w:themeColor="text1"/>
          <w:u w:color="000000" w:themeColor="text1"/>
        </w:rPr>
        <w:t>(D)</w:t>
      </w:r>
      <w:r w:rsidRPr="008832B7">
        <w:rPr>
          <w:color w:val="000000" w:themeColor="text1"/>
          <w:u w:val="single" w:color="000000" w:themeColor="text1"/>
        </w:rPr>
        <w:t>(iv)</w:t>
      </w:r>
      <w:r w:rsidRPr="008832B7">
        <w:rPr>
          <w:color w:val="000000" w:themeColor="text1"/>
          <w:u w:color="000000" w:themeColor="text1"/>
        </w:rPr>
        <w:tab/>
        <w:t xml:space="preserve">the amount of the rollback for that tax year by multiplying the amount of the additional assessment determined under </w:t>
      </w:r>
      <w:r w:rsidRPr="008832B7">
        <w:rPr>
          <w:strike/>
          <w:color w:val="000000" w:themeColor="text1"/>
          <w:u w:color="000000" w:themeColor="text1"/>
        </w:rPr>
        <w:t>(C)</w:t>
      </w:r>
      <w:r w:rsidRPr="008832B7">
        <w:rPr>
          <w:color w:val="000000" w:themeColor="text1"/>
          <w:u w:val="single" w:color="000000" w:themeColor="text1"/>
        </w:rPr>
        <w:t>(iii)</w:t>
      </w:r>
      <w:r w:rsidRPr="008832B7">
        <w:rPr>
          <w:color w:val="000000" w:themeColor="text1"/>
          <w:u w:color="000000" w:themeColor="text1"/>
        </w:rPr>
        <w:t xml:space="preserve"> of this section by the property tax rate of the taxing district applicable for that tax year.</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8832B7">
        <w:rPr>
          <w:color w:val="000000" w:themeColor="text1"/>
          <w:u w:color="000000" w:themeColor="text1"/>
        </w:rPr>
        <w:tab/>
      </w:r>
      <w:r w:rsidRPr="008832B7">
        <w:rPr>
          <w:color w:val="000000" w:themeColor="text1"/>
          <w:u w:color="000000" w:themeColor="text1"/>
        </w:rPr>
        <w:tab/>
      </w:r>
      <w:r w:rsidRPr="008832B7">
        <w:rPr>
          <w:color w:val="000000" w:themeColor="text1"/>
          <w:u w:val="single" w:color="000000" w:themeColor="text1"/>
        </w:rPr>
        <w:t>(B)</w:t>
      </w:r>
      <w:r w:rsidRPr="008832B7">
        <w:rPr>
          <w:color w:val="000000" w:themeColor="text1"/>
          <w:u w:color="000000" w:themeColor="text1"/>
        </w:rPr>
        <w:tab/>
      </w:r>
      <w:r w:rsidRPr="008832B7">
        <w:rPr>
          <w:color w:val="000000" w:themeColor="text1"/>
          <w:u w:val="single" w:color="000000" w:themeColor="text1"/>
        </w:rPr>
        <w:t>Roll</w:t>
      </w:r>
      <w:r w:rsidR="000668B2">
        <w:rPr>
          <w:color w:val="000000" w:themeColor="text1"/>
          <w:u w:val="single" w:color="000000" w:themeColor="text1"/>
        </w:rPr>
        <w:noBreakHyphen/>
      </w:r>
      <w:r w:rsidRPr="008832B7">
        <w:rPr>
          <w:color w:val="000000" w:themeColor="text1"/>
          <w:u w:val="single" w:color="000000" w:themeColor="text1"/>
        </w:rPr>
        <w:t>back taxes determined pursuant to subitem (4) do not apply to property that changes from an agricultural use to use as a single family residence that is not intended as part of a development or subdivision. A residence is one that receives a special assessment ratio pursuant to item (c)(1) of this section. If an owner of agricultural land subdivides a parcel of land more than once in the same year, roll</w:t>
      </w:r>
      <w:r w:rsidR="000668B2">
        <w:rPr>
          <w:color w:val="000000" w:themeColor="text1"/>
          <w:u w:val="single" w:color="000000" w:themeColor="text1"/>
        </w:rPr>
        <w:noBreakHyphen/>
      </w:r>
      <w:r w:rsidRPr="008832B7">
        <w:rPr>
          <w:color w:val="000000" w:themeColor="text1"/>
          <w:u w:val="single" w:color="000000" w:themeColor="text1"/>
        </w:rPr>
        <w:t>back taxes pursuant to this section do not apply only to the first subdivision. The buyer’s agent in the purchase of agricultural land shall inform the buyer that roll</w:t>
      </w:r>
      <w:r w:rsidR="000668B2">
        <w:rPr>
          <w:color w:val="000000" w:themeColor="text1"/>
          <w:u w:val="single" w:color="000000" w:themeColor="text1"/>
        </w:rPr>
        <w:noBreakHyphen/>
      </w:r>
      <w:r w:rsidRPr="008832B7">
        <w:rPr>
          <w:color w:val="000000" w:themeColor="text1"/>
          <w:u w:val="single" w:color="000000" w:themeColor="text1"/>
        </w:rPr>
        <w:t>back taxes apply when land is changed from an agricultural use to a use other than agricultural. The applicable municipality or county shall notify a property owner of potential roll</w:t>
      </w:r>
      <w:r w:rsidR="000668B2">
        <w:rPr>
          <w:color w:val="000000" w:themeColor="text1"/>
          <w:u w:val="single" w:color="000000" w:themeColor="text1"/>
        </w:rPr>
        <w:noBreakHyphen/>
      </w:r>
      <w:r w:rsidRPr="008832B7">
        <w:rPr>
          <w:color w:val="000000" w:themeColor="text1"/>
          <w:u w:val="single" w:color="000000" w:themeColor="text1"/>
        </w:rPr>
        <w:t>back taxes at the time he applies for any permit that may change the use of the property.</w:t>
      </w:r>
      <w:r w:rsidRPr="008832B7">
        <w:rPr>
          <w:color w:val="000000" w:themeColor="text1"/>
          <w:u w:color="000000" w:themeColor="text1"/>
        </w:rPr>
        <w:t>”</w:t>
      </w:r>
    </w:p>
    <w:p w:rsidR="000E0304" w:rsidRPr="008832B7" w:rsidRDefault="000E0304" w:rsidP="000E0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51CB0" w:rsidRPr="00522CE0" w:rsidRDefault="00451C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304">
        <w:rPr>
          <w:rFonts w:eastAsia="Times New Roman"/>
        </w:rPr>
        <w:t>2</w:t>
      </w:r>
      <w:r>
        <w:rPr>
          <w:rFonts w:eastAsia="Times New Roman"/>
        </w:rPr>
        <w:t>.</w:t>
      </w:r>
      <w:r>
        <w:rPr>
          <w:rFonts w:eastAsia="Times New Roman"/>
        </w:rPr>
        <w:tab/>
        <w:t>This act takes effect upon approval by the Governor</w:t>
      </w:r>
      <w:r w:rsidR="000E0304">
        <w:rPr>
          <w:rFonts w:eastAsia="Times New Roman"/>
        </w:rPr>
        <w:t xml:space="preserve"> </w:t>
      </w:r>
      <w:r w:rsidR="000E0304" w:rsidRPr="008832B7">
        <w:rPr>
          <w:color w:val="000000" w:themeColor="text1"/>
          <w:u w:color="000000" w:themeColor="text1"/>
        </w:rPr>
        <w:t xml:space="preserve">and applies for property tax </w:t>
      </w:r>
      <w:r w:rsidR="000E0304">
        <w:rPr>
          <w:color w:val="000000" w:themeColor="text1"/>
          <w:u w:color="000000" w:themeColor="text1"/>
        </w:rPr>
        <w:t>years beginning after 2019</w:t>
      </w:r>
      <w:r>
        <w:rPr>
          <w:rFonts w:eastAsia="Times New Roman"/>
        </w:rPr>
        <w:t>.</w:t>
      </w:r>
    </w:p>
    <w:p w:rsidR="005A5EA6" w:rsidRDefault="000668B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5423B" w:rsidRDefault="00A5423B" w:rsidP="00A5423B">
      <w:pPr>
        <w:suppressAutoHyphens/>
        <w:jc w:val="both"/>
        <w:rPr>
          <w:rFonts w:eastAsia="Times New Roman"/>
        </w:rPr>
      </w:pPr>
    </w:p>
    <w:sectPr w:rsidR="00A5423B" w:rsidSect="00A5423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1CB0" w:rsidRDefault="00451CB0" w:rsidP="00522CE0">
      <w:r>
        <w:separator/>
      </w:r>
    </w:p>
  </w:endnote>
  <w:endnote w:type="continuationSeparator" w:id="0">
    <w:p w:rsidR="00451CB0" w:rsidRDefault="00451CB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FB3A49C-E3F9-48CB-AF9D-F80FC3B7A4FB}"/>
    <w:embedBold r:id="rId2" w:fontKey="{C6FB10AA-8874-4741-AEB9-25BEA482772B}"/>
  </w:font>
  <w:font w:name="Calibri">
    <w:panose1 w:val="020F0502020204030204"/>
    <w:charset w:val="00"/>
    <w:family w:val="swiss"/>
    <w:pitch w:val="variable"/>
    <w:sig w:usb0="E0002EFF" w:usb1="C000247B" w:usb2="00000009" w:usb3="00000000" w:csb0="000001FF" w:csb1="00000000"/>
    <w:embedRegular r:id="rId3" w:fontKey="{8FF9EE1A-2A91-423B-8175-0B2F07EEC1F3}"/>
    <w:embedBold r:id="rId4" w:fontKey="{1E362B61-C569-414D-86FD-3066B7F2FD4E}"/>
  </w:font>
  <w:font w:name="Cambria">
    <w:panose1 w:val="02040503050406030204"/>
    <w:charset w:val="00"/>
    <w:family w:val="roman"/>
    <w:pitch w:val="variable"/>
    <w:sig w:usb0="E00006FF" w:usb1="420024FF" w:usb2="02000000" w:usb3="00000000" w:csb0="0000019F" w:csb1="00000000"/>
    <w:embedRegular r:id="rId5" w:fontKey="{3A7F69AD-D319-42EC-B7EB-0BB31C3C62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23B" w:rsidRPr="00E66532" w:rsidRDefault="00A5423B" w:rsidP="00E66532">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sidR="00F75A3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1CB0" w:rsidRDefault="00451CB0" w:rsidP="00522CE0">
      <w:r>
        <w:separator/>
      </w:r>
    </w:p>
  </w:footnote>
  <w:footnote w:type="continuationSeparator" w:id="0">
    <w:p w:rsidR="00451CB0" w:rsidRDefault="00451CB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OLL.SP.ASM"/>
    <w:docVar w:name="CoverAttorneyInitials" w:val="SP"/>
    <w:docVar w:name="CoverAttorneyLastName" w:val="Parrish"/>
    <w:docVar w:name="CoverBillType" w:val="b"/>
    <w:docVar w:name="CoverSenator" w:val="ASM"/>
    <w:docVar w:name="dvBillNumber" w:val="122"/>
    <w:docVar w:name="dvBillNumberPrefix" w:val="S. "/>
    <w:docVar w:name="dvOriginalBody" w:val="Senate"/>
    <w:docVar w:name="fulldraftpath" w:val="L:\S-RES\ASM\013ROLL.SP.ASM.DOCX"/>
    <w:docVar w:name="NameofBody" w:val="S"/>
    <w:docVar w:name="vgroup2" w:val="S-RES"/>
  </w:docVars>
  <w:rsids>
    <w:rsidRoot w:val="00451CB0"/>
    <w:rsid w:val="00042AC1"/>
    <w:rsid w:val="00046516"/>
    <w:rsid w:val="000668B2"/>
    <w:rsid w:val="00072458"/>
    <w:rsid w:val="0007601D"/>
    <w:rsid w:val="000B0720"/>
    <w:rsid w:val="000B5EAF"/>
    <w:rsid w:val="000E0304"/>
    <w:rsid w:val="001315B2"/>
    <w:rsid w:val="00170561"/>
    <w:rsid w:val="00186AC9"/>
    <w:rsid w:val="00197DF1"/>
    <w:rsid w:val="001B3DD9"/>
    <w:rsid w:val="001B7E5D"/>
    <w:rsid w:val="001D3BAC"/>
    <w:rsid w:val="00216025"/>
    <w:rsid w:val="00245C4E"/>
    <w:rsid w:val="00264471"/>
    <w:rsid w:val="002C1321"/>
    <w:rsid w:val="002C2031"/>
    <w:rsid w:val="002C5896"/>
    <w:rsid w:val="002D3BED"/>
    <w:rsid w:val="00307C2B"/>
    <w:rsid w:val="00315D04"/>
    <w:rsid w:val="00364567"/>
    <w:rsid w:val="00383247"/>
    <w:rsid w:val="003D6E2B"/>
    <w:rsid w:val="003E7597"/>
    <w:rsid w:val="00413EBF"/>
    <w:rsid w:val="0044020F"/>
    <w:rsid w:val="00450668"/>
    <w:rsid w:val="00451CB0"/>
    <w:rsid w:val="00454138"/>
    <w:rsid w:val="004813A2"/>
    <w:rsid w:val="004952FA"/>
    <w:rsid w:val="004A44C0"/>
    <w:rsid w:val="004B6A22"/>
    <w:rsid w:val="004D7F37"/>
    <w:rsid w:val="00522CE0"/>
    <w:rsid w:val="00541951"/>
    <w:rsid w:val="00565148"/>
    <w:rsid w:val="00570403"/>
    <w:rsid w:val="00593361"/>
    <w:rsid w:val="005A413B"/>
    <w:rsid w:val="005A5017"/>
    <w:rsid w:val="005A5EA6"/>
    <w:rsid w:val="005A648C"/>
    <w:rsid w:val="005F07AC"/>
    <w:rsid w:val="005F1745"/>
    <w:rsid w:val="006A1802"/>
    <w:rsid w:val="006C0CBB"/>
    <w:rsid w:val="006C74EA"/>
    <w:rsid w:val="00720D40"/>
    <w:rsid w:val="00725907"/>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23B"/>
    <w:rsid w:val="00A86015"/>
    <w:rsid w:val="00A9594E"/>
    <w:rsid w:val="00A97999"/>
    <w:rsid w:val="00AD068F"/>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6532"/>
    <w:rsid w:val="00E76AD9"/>
    <w:rsid w:val="00E86EE2"/>
    <w:rsid w:val="00E91E2F"/>
    <w:rsid w:val="00EA3546"/>
    <w:rsid w:val="00EB47AE"/>
    <w:rsid w:val="00EC34E1"/>
    <w:rsid w:val="00F0234A"/>
    <w:rsid w:val="00F0584F"/>
    <w:rsid w:val="00F05CF2"/>
    <w:rsid w:val="00F51241"/>
    <w:rsid w:val="00F52959"/>
    <w:rsid w:val="00F55884"/>
    <w:rsid w:val="00F75A3A"/>
    <w:rsid w:val="00FB7F01"/>
    <w:rsid w:val="00FC0D36"/>
    <w:rsid w:val="00FC3A2B"/>
    <w:rsid w:val="00FE6467"/>
    <w:rsid w:val="00FF38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E6C5D9A7-15CE-4A83-9758-C934F9D70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5423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2&amp;session=123&amp;summary=B" TargetMode="External"/><Relationship Id="rId3" Type="http://schemas.openxmlformats.org/officeDocument/2006/relationships/webSettings" Target="webSettings.xml"/><Relationship Id="rId7" Type="http://schemas.openxmlformats.org/officeDocument/2006/relationships/hyperlink" Target="file:///h:\sj\20190108.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108.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122_20181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26C53ECB</Template>
  <TotalTime>0</TotalTime>
  <Pages>3</Pages>
  <Words>722</Words>
  <Characters>3810</Characters>
  <Application>Microsoft Office Word</Application>
  <DocSecurity>0</DocSecurity>
  <Lines>115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122: Roll-back property tax - South Carolina Legislature Online</dc:title>
  <dc:subject/>
  <dc:creator>Sara Parrish</dc:creator>
  <cp:keywords/>
  <dc:description/>
  <cp:lastModifiedBy>S Wilson</cp:lastModifiedBy>
  <cp:revision>2</cp:revision>
  <dcterms:created xsi:type="dcterms:W3CDTF">2020-03-04T19:22:00Z</dcterms:created>
  <dcterms:modified xsi:type="dcterms:W3CDTF">2020-03-04T19:22:00Z</dcterms:modified>
</cp:coreProperties>
</file>