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BFE" w:rsidRDefault="00421BFE" w:rsidP="00421BFE">
      <w:pPr>
        <w:widowControl w:val="0"/>
        <w:jc w:val="center"/>
      </w:pPr>
      <w:r w:rsidRPr="00421BFE">
        <w:rPr>
          <w:b/>
        </w:rPr>
        <w:t>South Carolina General Assembly</w:t>
      </w:r>
    </w:p>
    <w:p w:rsidR="00421BFE" w:rsidRDefault="00421BFE" w:rsidP="00421BFE">
      <w:pPr>
        <w:widowControl w:val="0"/>
        <w:jc w:val="center"/>
      </w:pPr>
      <w:r>
        <w:t>123rd Session, 2019-2020</w:t>
      </w:r>
    </w:p>
    <w:p w:rsidR="00421BFE" w:rsidRDefault="00421BFE" w:rsidP="00421BFE">
      <w:pPr>
        <w:widowControl w:val="0"/>
        <w:jc w:val="left"/>
      </w:pPr>
    </w:p>
    <w:p w:rsidR="00421BFE" w:rsidRDefault="00421BFE" w:rsidP="00421BFE">
      <w:pPr>
        <w:widowControl w:val="0"/>
        <w:jc w:val="left"/>
        <w:rPr>
          <w:b/>
        </w:rPr>
      </w:pPr>
      <w:r w:rsidRPr="00421BFE">
        <w:rPr>
          <w:b/>
        </w:rPr>
        <w:t>H. 4580</w:t>
      </w:r>
    </w:p>
    <w:p w:rsidR="00421BFE" w:rsidRDefault="00421BFE" w:rsidP="00421BFE">
      <w:pPr>
        <w:widowControl w:val="0"/>
        <w:jc w:val="left"/>
        <w:rPr>
          <w:b/>
        </w:rPr>
      </w:pPr>
    </w:p>
    <w:p w:rsidR="00421BFE" w:rsidRDefault="00421BFE" w:rsidP="00421BFE">
      <w:pPr>
        <w:widowControl w:val="0"/>
        <w:jc w:val="left"/>
      </w:pPr>
      <w:r w:rsidRPr="00421BFE">
        <w:rPr>
          <w:b/>
        </w:rPr>
        <w:t>STATUS INFORMATION</w:t>
      </w:r>
    </w:p>
    <w:p w:rsidR="00421BFE" w:rsidRDefault="00421BFE" w:rsidP="00421BFE">
      <w:pPr>
        <w:widowControl w:val="0"/>
        <w:jc w:val="left"/>
      </w:pPr>
    </w:p>
    <w:p w:rsidR="00421BFE" w:rsidRDefault="00421BFE" w:rsidP="00421BFE">
      <w:pPr>
        <w:widowControl w:val="0"/>
        <w:jc w:val="left"/>
      </w:pPr>
      <w:r>
        <w:t>Joint Resolution</w:t>
      </w:r>
    </w:p>
    <w:p w:rsidR="00421BFE" w:rsidRDefault="00421BFE" w:rsidP="00421BFE">
      <w:pPr>
        <w:widowControl w:val="0"/>
        <w:jc w:val="left"/>
      </w:pPr>
      <w:r>
        <w:t>Sponsors: Rep. White</w:t>
      </w:r>
    </w:p>
    <w:p w:rsidR="00421BFE" w:rsidRDefault="00421BFE" w:rsidP="00421BFE">
      <w:pPr>
        <w:widowControl w:val="0"/>
        <w:jc w:val="left"/>
      </w:pPr>
      <w:r>
        <w:t>Document Path: l:\council\bills\nbd\11293dg19.docx</w:t>
      </w:r>
    </w:p>
    <w:p w:rsidR="00421BFE" w:rsidRDefault="00421BFE" w:rsidP="00421BFE">
      <w:pPr>
        <w:widowControl w:val="0"/>
        <w:jc w:val="left"/>
      </w:pPr>
    </w:p>
    <w:p w:rsidR="00421BFE" w:rsidRDefault="00421BFE" w:rsidP="00421BFE">
      <w:pPr>
        <w:widowControl w:val="0"/>
        <w:jc w:val="left"/>
      </w:pPr>
      <w:r>
        <w:t>Introduced in the House on May 8, 2019</w:t>
      </w:r>
    </w:p>
    <w:p w:rsidR="00421BFE" w:rsidRDefault="00421BFE" w:rsidP="00421BFE">
      <w:pPr>
        <w:widowControl w:val="0"/>
        <w:jc w:val="left"/>
      </w:pPr>
      <w:r>
        <w:t xml:space="preserve">Currently residing in the House Committee on </w:t>
      </w:r>
      <w:r w:rsidRPr="00421BFE">
        <w:rPr>
          <w:b/>
        </w:rPr>
        <w:t>Judiciary</w:t>
      </w:r>
    </w:p>
    <w:p w:rsidR="00421BFE" w:rsidRDefault="00421BFE" w:rsidP="00421BFE">
      <w:pPr>
        <w:widowControl w:val="0"/>
        <w:jc w:val="left"/>
      </w:pPr>
    </w:p>
    <w:p w:rsidR="00421BFE" w:rsidRDefault="00421BFE" w:rsidP="00421BFE">
      <w:pPr>
        <w:widowControl w:val="0"/>
        <w:jc w:val="left"/>
      </w:pPr>
      <w:r>
        <w:t xml:space="preserve">Summary: </w:t>
      </w:r>
      <w:r w:rsidR="00674FEE">
        <w:t>Provide that proceeds in educational lottery account may be used only for higher education tuition assistance and scholarships</w:t>
      </w:r>
    </w:p>
    <w:p w:rsidR="00421BFE" w:rsidRDefault="00421BFE" w:rsidP="00421BFE">
      <w:pPr>
        <w:widowControl w:val="0"/>
        <w:jc w:val="left"/>
      </w:pPr>
    </w:p>
    <w:p w:rsidR="00421BFE" w:rsidRDefault="00421BFE" w:rsidP="00421BFE">
      <w:pPr>
        <w:widowControl w:val="0"/>
        <w:jc w:val="left"/>
      </w:pPr>
    </w:p>
    <w:p w:rsidR="00421BFE" w:rsidRDefault="00421BFE" w:rsidP="00421BFE">
      <w:pPr>
        <w:widowControl w:val="0"/>
        <w:tabs>
          <w:tab w:val="center" w:pos="590"/>
          <w:tab w:val="center" w:pos="1440"/>
          <w:tab w:val="left" w:pos="1872"/>
          <w:tab w:val="left" w:pos="9187"/>
        </w:tabs>
        <w:jc w:val="left"/>
      </w:pPr>
      <w:r w:rsidRPr="00421BFE">
        <w:rPr>
          <w:b/>
        </w:rPr>
        <w:t>HISTORY OF LEGISLATIVE ACTIONS</w:t>
      </w:r>
    </w:p>
    <w:p w:rsidR="00421BFE" w:rsidRDefault="00421BFE" w:rsidP="00421BFE">
      <w:pPr>
        <w:widowControl w:val="0"/>
        <w:tabs>
          <w:tab w:val="center" w:pos="590"/>
          <w:tab w:val="center" w:pos="1440"/>
          <w:tab w:val="left" w:pos="1872"/>
          <w:tab w:val="left" w:pos="9187"/>
        </w:tabs>
        <w:jc w:val="left"/>
      </w:pPr>
    </w:p>
    <w:p w:rsidR="00421BFE" w:rsidRPr="00421BFE" w:rsidRDefault="00421BFE" w:rsidP="00421BFE">
      <w:pPr>
        <w:widowControl w:val="0"/>
        <w:tabs>
          <w:tab w:val="center" w:pos="590"/>
          <w:tab w:val="center" w:pos="1440"/>
          <w:tab w:val="left" w:pos="1872"/>
          <w:tab w:val="left" w:pos="9187"/>
        </w:tabs>
        <w:jc w:val="left"/>
      </w:pPr>
      <w:r w:rsidRPr="00421BFE">
        <w:rPr>
          <w:u w:val="single"/>
        </w:rPr>
        <w:tab/>
        <w:t>Date</w:t>
      </w:r>
      <w:r w:rsidRPr="00421BFE">
        <w:rPr>
          <w:u w:val="single"/>
        </w:rPr>
        <w:tab/>
        <w:t>Body</w:t>
      </w:r>
      <w:r w:rsidRPr="00421BFE">
        <w:rPr>
          <w:u w:val="single"/>
        </w:rPr>
        <w:tab/>
        <w:t>Action Description with journal page number</w:t>
      </w:r>
      <w:r w:rsidRPr="00421BFE">
        <w:rPr>
          <w:u w:val="single"/>
        </w:rPr>
        <w:tab/>
      </w:r>
    </w:p>
    <w:p w:rsidR="00EE7F23" w:rsidRDefault="00EE7F23" w:rsidP="00EE7F23">
      <w:pPr>
        <w:widowControl w:val="0"/>
        <w:tabs>
          <w:tab w:val="right" w:pos="1008"/>
          <w:tab w:val="left" w:pos="1152"/>
          <w:tab w:val="left" w:pos="1872"/>
          <w:tab w:val="left" w:pos="9187"/>
        </w:tabs>
        <w:ind w:left="2088" w:hanging="2088"/>
      </w:pPr>
      <w:r>
        <w:tab/>
        <w:t>5/8/2019</w:t>
      </w:r>
      <w:r>
        <w:tab/>
        <w:t>House</w:t>
      </w:r>
      <w:r>
        <w:tab/>
      </w:r>
      <w:r w:rsidRPr="00077DB6">
        <w:t>Introduced and read first time (</w:t>
      </w:r>
      <w:hyperlink r:id="rId7" w:history="1">
        <w:r w:rsidRPr="00077DB6">
          <w:rPr>
            <w:rStyle w:val="Hyperlink"/>
          </w:rPr>
          <w:t>House Journal</w:t>
        </w:r>
        <w:r w:rsidRPr="00077DB6">
          <w:rPr>
            <w:rStyle w:val="Hyperlink"/>
          </w:rPr>
          <w:noBreakHyphen/>
          <w:t>page 150</w:t>
        </w:r>
      </w:hyperlink>
      <w:r w:rsidRPr="00077DB6">
        <w:t>)</w:t>
      </w:r>
    </w:p>
    <w:p w:rsidR="00EE7F23" w:rsidRDefault="00EE7F23" w:rsidP="00EE7F23">
      <w:pPr>
        <w:widowControl w:val="0"/>
        <w:tabs>
          <w:tab w:val="right" w:pos="1008"/>
          <w:tab w:val="left" w:pos="1152"/>
          <w:tab w:val="left" w:pos="1872"/>
          <w:tab w:val="left" w:pos="9187"/>
        </w:tabs>
        <w:ind w:left="2088" w:hanging="2088"/>
      </w:pPr>
      <w:r>
        <w:tab/>
        <w:t>5/8/2019</w:t>
      </w:r>
      <w:r>
        <w:tab/>
        <w:t>House</w:t>
      </w:r>
      <w:r>
        <w:tab/>
      </w:r>
      <w:r w:rsidRPr="00077DB6">
        <w:t>Ref</w:t>
      </w:r>
      <w:r>
        <w:t xml:space="preserve">erred to Committee on </w:t>
      </w:r>
      <w:r w:rsidRPr="00077DB6">
        <w:rPr>
          <w:b/>
        </w:rPr>
        <w:t>Judiciary</w:t>
      </w:r>
      <w:r>
        <w:t xml:space="preserve"> </w:t>
      </w:r>
      <w:r w:rsidRPr="00077DB6">
        <w:t>(</w:t>
      </w:r>
      <w:hyperlink r:id="rId8" w:history="1">
        <w:r w:rsidRPr="00077DB6">
          <w:rPr>
            <w:rStyle w:val="Hyperlink"/>
          </w:rPr>
          <w:t>House Journal</w:t>
        </w:r>
        <w:r w:rsidRPr="00077DB6">
          <w:rPr>
            <w:rStyle w:val="Hyperlink"/>
          </w:rPr>
          <w:noBreakHyphen/>
          <w:t>page 150</w:t>
        </w:r>
      </w:hyperlink>
      <w:r w:rsidRPr="00077DB6">
        <w:t>)</w:t>
      </w:r>
    </w:p>
    <w:p w:rsidR="00EE7F23" w:rsidRDefault="00EE7F23" w:rsidP="00EE7F23">
      <w:pPr>
        <w:widowControl w:val="0"/>
        <w:tabs>
          <w:tab w:val="right" w:pos="1008"/>
          <w:tab w:val="left" w:pos="1152"/>
          <w:tab w:val="left" w:pos="1872"/>
          <w:tab w:val="left" w:pos="9187"/>
        </w:tabs>
        <w:ind w:left="2088" w:hanging="2088"/>
      </w:pPr>
    </w:p>
    <w:p w:rsidR="00421BFE" w:rsidRDefault="00421BFE" w:rsidP="00421BF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21BFE">
          <w:rPr>
            <w:rStyle w:val="Hyperlink"/>
          </w:rPr>
          <w:t>legislative information</w:t>
        </w:r>
      </w:hyperlink>
      <w:r>
        <w:t xml:space="preserve"> at the website</w:t>
      </w:r>
    </w:p>
    <w:p w:rsidR="00421BFE" w:rsidRDefault="00421BFE" w:rsidP="00421BFE">
      <w:pPr>
        <w:widowControl w:val="0"/>
        <w:tabs>
          <w:tab w:val="right" w:pos="1008"/>
          <w:tab w:val="left" w:pos="1152"/>
          <w:tab w:val="left" w:pos="1872"/>
          <w:tab w:val="left" w:pos="9187"/>
        </w:tabs>
        <w:ind w:left="2088" w:hanging="2088"/>
        <w:jc w:val="left"/>
      </w:pPr>
    </w:p>
    <w:p w:rsidR="00421BFE" w:rsidRPr="00421BFE" w:rsidRDefault="00421BFE" w:rsidP="00421BFE">
      <w:pPr>
        <w:widowControl w:val="0"/>
        <w:tabs>
          <w:tab w:val="right" w:pos="1008"/>
          <w:tab w:val="left" w:pos="1152"/>
          <w:tab w:val="left" w:pos="1872"/>
          <w:tab w:val="left" w:pos="9187"/>
        </w:tabs>
        <w:ind w:left="2088" w:hanging="2088"/>
        <w:jc w:val="left"/>
      </w:pPr>
    </w:p>
    <w:p w:rsidR="00421BFE" w:rsidRDefault="00421BFE" w:rsidP="00421BFE">
      <w:pPr>
        <w:widowControl w:val="0"/>
        <w:jc w:val="left"/>
      </w:pPr>
      <w:r w:rsidRPr="00421BFE">
        <w:rPr>
          <w:b/>
        </w:rPr>
        <w:t>VERSIONS OF THIS BILL</w:t>
      </w:r>
    </w:p>
    <w:p w:rsidR="00421BFE" w:rsidRDefault="00421BFE" w:rsidP="00421BFE">
      <w:pPr>
        <w:widowControl w:val="0"/>
        <w:jc w:val="left"/>
      </w:pPr>
    </w:p>
    <w:p w:rsidR="00421BFE" w:rsidRDefault="000F0563" w:rsidP="00421BFE">
      <w:pPr>
        <w:widowControl w:val="0"/>
        <w:jc w:val="left"/>
      </w:pPr>
      <w:hyperlink r:id="rId10" w:history="1">
        <w:r w:rsidR="00421BFE">
          <w:rPr>
            <w:rStyle w:val="Hyperlink"/>
          </w:rPr>
          <w:t>5/8/2019</w:t>
        </w:r>
      </w:hyperlink>
    </w:p>
    <w:p w:rsidR="00421BFE" w:rsidRDefault="00421BFE" w:rsidP="00421BFE"/>
    <w:p w:rsidR="00421BFE" w:rsidRDefault="00421BFE" w:rsidP="00421BFE">
      <w:pPr>
        <w:sectPr w:rsidR="00421BFE" w:rsidSect="00421BFE">
          <w:pgSz w:w="12240" w:h="15840" w:code="1"/>
          <w:pgMar w:top="1080" w:right="1440" w:bottom="1080" w:left="1440" w:header="720" w:footer="720" w:gutter="0"/>
          <w:cols w:space="720"/>
          <w:noEndnote/>
          <w:docGrid w:linePitch="360"/>
        </w:sectPr>
      </w:pPr>
    </w:p>
    <w:p w:rsidR="00F24D1B" w:rsidRDefault="00F24D1B" w:rsidP="00C12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D3" w:rsidRDefault="00C121D3" w:rsidP="00C12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D3" w:rsidRDefault="00C121D3" w:rsidP="00C12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D3" w:rsidRDefault="00C121D3" w:rsidP="00C12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D3" w:rsidRDefault="00C121D3" w:rsidP="00C12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D3" w:rsidRDefault="00C121D3" w:rsidP="00C12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D3" w:rsidRDefault="00C121D3" w:rsidP="00C12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4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237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5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058DC">
        <w:rPr>
          <w:color w:val="000000" w:themeColor="text1"/>
          <w:u w:color="000000" w:themeColor="text1"/>
        </w:rPr>
        <w:t>PROPOSING AN AMENDMENT TO SECTION 7, ARTICLE XVII OF THE CONSTITUTION OF SOUTH CAROLINA, 1895, RELATING TO LOTTERIES, SO AS TO PROVIDE THAT PROCEEDS IN THE EDUCATION LOTTERY ACCOUNT MAY BE USED ONLY</w:t>
      </w:r>
      <w:r w:rsidR="00EB5027">
        <w:rPr>
          <w:color w:val="000000" w:themeColor="text1"/>
          <w:u w:color="000000" w:themeColor="text1"/>
        </w:rPr>
        <w:t xml:space="preserve"> FOR</w:t>
      </w:r>
      <w:r w:rsidRPr="005058DC">
        <w:rPr>
          <w:color w:val="000000" w:themeColor="text1"/>
          <w:u w:color="000000" w:themeColor="text1"/>
        </w:rPr>
        <w:t xml:space="preserve"> HIGHER EDUCATION TUITION ASSISTANCE AND SCHOLARSHIPS.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237A" w:rsidRDefault="00AE23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237A" w:rsidRDefault="00AE23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74E" w:rsidRPr="005058DC" w:rsidRDefault="00FE574E" w:rsidP="00FE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8DC">
        <w:rPr>
          <w:color w:val="000000" w:themeColor="text1"/>
          <w:u w:color="000000" w:themeColor="text1"/>
        </w:rPr>
        <w:t>SECTION</w:t>
      </w:r>
      <w:r w:rsidRPr="005058DC">
        <w:rPr>
          <w:color w:val="000000" w:themeColor="text1"/>
          <w:u w:color="000000" w:themeColor="text1"/>
        </w:rPr>
        <w:tab/>
        <w:t>1.</w:t>
      </w:r>
      <w:r w:rsidRPr="005058DC">
        <w:rPr>
          <w:color w:val="000000" w:themeColor="text1"/>
          <w:u w:color="000000" w:themeColor="text1"/>
        </w:rPr>
        <w:tab/>
        <w:t>It is proposed that Section 7, Article XVII of the Constitution of this State be amended to read:</w:t>
      </w:r>
    </w:p>
    <w:p w:rsidR="00FE574E" w:rsidRPr="005058DC" w:rsidRDefault="00FE574E" w:rsidP="00FE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74E" w:rsidRPr="005058DC" w:rsidRDefault="00FE574E" w:rsidP="00FE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8DC">
        <w:rPr>
          <w:color w:val="000000" w:themeColor="text1"/>
          <w:u w:color="000000" w:themeColor="text1"/>
        </w:rPr>
        <w:tab/>
        <w:t>“Section 7.</w:t>
      </w:r>
      <w:r w:rsidRPr="005058DC">
        <w:rPr>
          <w:color w:val="000000" w:themeColor="text1"/>
          <w:u w:color="000000" w:themeColor="text1"/>
        </w:rPr>
        <w:tab/>
        <w:t xml:space="preserve">Only the State may conduct lotteries, and these lotteries must be conducted in the manner that the General Assembly provides by law. The revenue derived from the lotteries must be used first to pay all operating expenses and prizes for the lotteries. The remaining lottery revenues must be credited to a separate fund in the state treasury styled the “Education Lottery Account”, and the earnings on this account must be credited to it. Education Lottery Account proceeds may be used only for </w:t>
      </w:r>
      <w:r w:rsidRPr="005058DC">
        <w:rPr>
          <w:strike/>
          <w:color w:val="000000" w:themeColor="text1"/>
          <w:u w:color="000000" w:themeColor="text1"/>
        </w:rPr>
        <w:t>educational purposes as the General Assembly provides by law</w:t>
      </w:r>
      <w:r w:rsidRPr="005058DC">
        <w:rPr>
          <w:color w:val="000000" w:themeColor="text1"/>
          <w:u w:color="000000" w:themeColor="text1"/>
        </w:rPr>
        <w:t xml:space="preserve"> </w:t>
      </w:r>
      <w:r w:rsidRPr="005058DC">
        <w:rPr>
          <w:color w:val="000000" w:themeColor="text1"/>
          <w:u w:val="single" w:color="000000" w:themeColor="text1"/>
        </w:rPr>
        <w:t>higher education tuition assistance and scholarships</w:t>
      </w:r>
      <w:r w:rsidRPr="005058DC">
        <w:rPr>
          <w:color w:val="000000" w:themeColor="text1"/>
          <w:u w:color="000000" w:themeColor="text1"/>
        </w:rPr>
        <w:t>.</w:t>
      </w:r>
    </w:p>
    <w:p w:rsidR="00FE574E" w:rsidRPr="005058DC" w:rsidRDefault="00FE574E" w:rsidP="00FE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8DC">
        <w:rPr>
          <w:color w:val="000000" w:themeColor="text1"/>
          <w:u w:color="000000" w:themeColor="text1"/>
        </w:rPr>
        <w:tab/>
        <w:t>The game of bingo, when conducted by charitable, religious, or fraternal organizations exempt from federal income taxation or when conducted at recognized annual state and county fairs, is not considered a lottery prohibited by this section.</w:t>
      </w:r>
    </w:p>
    <w:p w:rsidR="00FE574E" w:rsidRPr="005058DC" w:rsidRDefault="00FE574E" w:rsidP="00FE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8DC">
        <w:rPr>
          <w:color w:val="000000" w:themeColor="text1"/>
          <w:u w:color="000000" w:themeColor="text1"/>
        </w:rPr>
        <w:tab/>
        <w:t xml:space="preserve">A raffle, if provided for by general law and conducted by a nonprofit organization for charitable, religious, fraternal, educational, or other eleemosynary purposes, is not a lottery prohibited by this section. The general law must define the type of nonprofit organization authorized to operate and conduct a raffle, </w:t>
      </w:r>
      <w:r w:rsidRPr="005058DC">
        <w:rPr>
          <w:color w:val="000000" w:themeColor="text1"/>
          <w:u w:color="000000" w:themeColor="text1"/>
        </w:rPr>
        <w:lastRenderedPageBreak/>
        <w:t>provide standards for the operation and conduct of raffles, provide for the use of proceeds for religious, charitable, fraternal, educational, or other eleemosynary purposes, provide penalties for violations, and provide for other laws necessary to ensure the proper functioning, honesty, and integrity of the raffles. If a general law on the conduct and operation of a nonprofit raffle for charitable purposes, including the type of organization allowed to conduct raffles, is not enacted, then the raffle is a lottery prohibited by this section.”</w:t>
      </w:r>
    </w:p>
    <w:p w:rsidR="00FE574E" w:rsidRPr="005058DC" w:rsidRDefault="00FE574E" w:rsidP="00FE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74E" w:rsidRPr="005058DC" w:rsidRDefault="00FE574E" w:rsidP="00FE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8DC">
        <w:rPr>
          <w:color w:val="000000" w:themeColor="text1"/>
          <w:u w:color="000000" w:themeColor="text1"/>
        </w:rPr>
        <w:t>SECTION</w:t>
      </w:r>
      <w:r w:rsidRPr="005058DC">
        <w:rPr>
          <w:color w:val="000000" w:themeColor="text1"/>
          <w:u w:color="000000" w:themeColor="text1"/>
        </w:rPr>
        <w:tab/>
        <w:t>2.</w:t>
      </w:r>
      <w:r w:rsidRPr="005058DC">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FE574E" w:rsidRPr="005058DC" w:rsidRDefault="00FE574E" w:rsidP="00FE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74E" w:rsidRPr="005058DC" w:rsidRDefault="00FE574E" w:rsidP="00FE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8DC">
        <w:rPr>
          <w:color w:val="000000" w:themeColor="text1"/>
          <w:u w:color="000000" w:themeColor="text1"/>
        </w:rPr>
        <w:tab/>
        <w:t>“Must Section 7, Article XVII of the Constitution of this State be amended so as to provide that proceeds in the Education Lottery Account may be used only</w:t>
      </w:r>
      <w:r w:rsidR="00EB5027">
        <w:rPr>
          <w:color w:val="000000" w:themeColor="text1"/>
          <w:u w:color="000000" w:themeColor="text1"/>
        </w:rPr>
        <w:t xml:space="preserve"> for</w:t>
      </w:r>
      <w:r w:rsidRPr="005058DC">
        <w:rPr>
          <w:color w:val="000000" w:themeColor="text1"/>
          <w:u w:color="000000" w:themeColor="text1"/>
        </w:rPr>
        <w:t xml:space="preserve"> higher education tuition assistance and scholarships?</w:t>
      </w:r>
    </w:p>
    <w:p w:rsidR="00FE574E" w:rsidRDefault="00FE574E" w:rsidP="00FE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74E" w:rsidRDefault="00FE574E" w:rsidP="00FE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FE574E" w:rsidRDefault="00FE574E" w:rsidP="00FE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E574E" w:rsidRDefault="00FE574E" w:rsidP="00FE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FE574E" w:rsidRPr="00FE574E" w:rsidRDefault="00FE574E" w:rsidP="00FE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AE237A" w:rsidRPr="00AE237A" w:rsidRDefault="00FE574E" w:rsidP="00FE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58DC">
        <w:rPr>
          <w:color w:val="000000" w:themeColor="text1"/>
          <w:u w:color="000000" w:themeColor="text1"/>
        </w:rPr>
        <w:t xml:space="preserve">Those voting in favor of the question shall deposit a ballot with a check or cross mark in the square after the word </w:t>
      </w:r>
      <w:r w:rsidR="00551778" w:rsidRPr="00551778">
        <w:rPr>
          <w:color w:val="000000" w:themeColor="text1"/>
          <w:u w:color="000000" w:themeColor="text1"/>
        </w:rPr>
        <w:t>‘</w:t>
      </w:r>
      <w:r w:rsidRPr="005058DC">
        <w:rPr>
          <w:color w:val="000000" w:themeColor="text1"/>
          <w:u w:color="000000" w:themeColor="text1"/>
        </w:rPr>
        <w:t>Yes</w:t>
      </w:r>
      <w:r w:rsidR="00551778" w:rsidRPr="00551778">
        <w:rPr>
          <w:color w:val="000000" w:themeColor="text1"/>
          <w:u w:color="000000" w:themeColor="text1"/>
        </w:rPr>
        <w:t>’</w:t>
      </w:r>
      <w:r w:rsidRPr="005058DC">
        <w:rPr>
          <w:color w:val="000000" w:themeColor="text1"/>
          <w:u w:color="000000" w:themeColor="text1"/>
        </w:rPr>
        <w:t xml:space="preserve">, and those voting against the question shall deposit a ballot with a check or cross mark in the square after the word </w:t>
      </w:r>
      <w:r w:rsidR="00551778" w:rsidRPr="00551778">
        <w:rPr>
          <w:color w:val="000000" w:themeColor="text1"/>
          <w:u w:color="000000" w:themeColor="text1"/>
        </w:rPr>
        <w:t>‘</w:t>
      </w:r>
      <w:r w:rsidRPr="005058DC">
        <w:rPr>
          <w:color w:val="000000" w:themeColor="text1"/>
          <w:u w:color="000000" w:themeColor="text1"/>
        </w:rPr>
        <w:t>No</w:t>
      </w:r>
      <w:r w:rsidR="00551778" w:rsidRPr="00551778">
        <w:rPr>
          <w:color w:val="000000" w:themeColor="text1"/>
          <w:u w:color="000000" w:themeColor="text1"/>
        </w:rPr>
        <w:t>’</w:t>
      </w:r>
      <w:r w:rsidRPr="005058DC">
        <w:rPr>
          <w:color w:val="000000" w:themeColor="text1"/>
          <w:u w:color="000000" w:themeColor="text1"/>
        </w:rPr>
        <w:t>.”</w:t>
      </w:r>
    </w:p>
    <w:p w:rsidR="008B6FE3" w:rsidRDefault="005517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1BFE" w:rsidRDefault="00421BFE" w:rsidP="00421BFE">
      <w:pPr>
        <w:suppressAutoHyphens/>
      </w:pPr>
    </w:p>
    <w:sectPr w:rsidR="00421BFE" w:rsidSect="00421BF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37A" w:rsidRDefault="00AE237A" w:rsidP="009F0C77">
      <w:r>
        <w:separator/>
      </w:r>
    </w:p>
  </w:endnote>
  <w:endnote w:type="continuationSeparator" w:id="0">
    <w:p w:rsidR="00AE237A" w:rsidRDefault="00AE23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98B3E54-98F9-4017-AA7A-2F7D5057C640}"/>
    <w:embedBold r:id="rId2" w:fontKey="{750163B4-30CB-457F-83EF-2F1421B34DAC}"/>
  </w:font>
  <w:font w:name="Calibri">
    <w:panose1 w:val="020F0502020204030204"/>
    <w:charset w:val="00"/>
    <w:family w:val="swiss"/>
    <w:pitch w:val="variable"/>
    <w:sig w:usb0="E00002FF" w:usb1="4000ACFF" w:usb2="00000001" w:usb3="00000000" w:csb0="0000019F" w:csb1="00000000"/>
    <w:embedRegular r:id="rId3" w:fontKey="{6F262523-D141-42A1-BDCA-9DB5EFD15CF2}"/>
  </w:font>
  <w:font w:name="Wingdings">
    <w:panose1 w:val="05000000000000000000"/>
    <w:charset w:val="02"/>
    <w:family w:val="auto"/>
    <w:pitch w:val="variable"/>
    <w:sig w:usb0="00000000" w:usb1="10000000" w:usb2="00000000" w:usb3="00000000" w:csb0="80000000" w:csb1="00000000"/>
    <w:embedRegular r:id="rId4" w:fontKey="{7D5849C8-7669-4867-A0C8-C59D5952DF62}"/>
  </w:font>
  <w:font w:name="Cambria">
    <w:panose1 w:val="02040503050406030204"/>
    <w:charset w:val="00"/>
    <w:family w:val="roman"/>
    <w:pitch w:val="variable"/>
    <w:sig w:usb0="E00002FF" w:usb1="400004FF" w:usb2="00000000" w:usb3="00000000" w:csb0="0000019F" w:csb1="00000000"/>
    <w:embedRegular r:id="rId5" w:fontKey="{08E74A0F-FB43-4129-ADAE-C0ACE77769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BFE" w:rsidRPr="00F24D1B" w:rsidRDefault="00421BFE" w:rsidP="00F24D1B">
    <w:pPr>
      <w:pStyle w:val="Footer"/>
      <w:tabs>
        <w:tab w:val="clear" w:pos="4680"/>
        <w:tab w:val="clear" w:pos="9360"/>
        <w:tab w:val="center" w:pos="2995"/>
      </w:tabs>
      <w:spacing w:before="120"/>
    </w:pPr>
    <w:r>
      <w:t>[4580]</w:t>
    </w:r>
    <w:r>
      <w:tab/>
    </w:r>
    <w:r>
      <w:fldChar w:fldCharType="begin"/>
    </w:r>
    <w:r>
      <w:instrText xml:space="preserve"> PAGE  \* MERGEFORMAT </w:instrText>
    </w:r>
    <w:r>
      <w:fldChar w:fldCharType="separate"/>
    </w:r>
    <w:r w:rsidR="00674F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37A" w:rsidRDefault="00AE237A" w:rsidP="009F0C77">
      <w:r>
        <w:separator/>
      </w:r>
    </w:p>
  </w:footnote>
  <w:footnote w:type="continuationSeparator" w:id="0">
    <w:p w:rsidR="00AE237A" w:rsidRDefault="00AE23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93DG19"/>
    <w:docVar w:name="CoverBillType" w:val="h"/>
    <w:docVar w:name="DocPath" w:val="L:\Council\bills\NBD\11293DG19.DOCX"/>
    <w:docVar w:name="dvBillNumber" w:val="4580"/>
    <w:docVar w:name="dvBillNumberPrefix" w:val="H. "/>
    <w:docVar w:name="dvOriginalBody" w:val="House"/>
    <w:docVar w:name="dvSteno" w:val="NBD"/>
    <w:docVar w:name="NameofBody" w:val="h"/>
    <w:docVar w:name="vGroup2" w:val="Council"/>
  </w:docVars>
  <w:rsids>
    <w:rsidRoot w:val="00AE237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1BFE"/>
    <w:rsid w:val="004403BD"/>
    <w:rsid w:val="00461441"/>
    <w:rsid w:val="004809EE"/>
    <w:rsid w:val="004E7D54"/>
    <w:rsid w:val="005273C6"/>
    <w:rsid w:val="00530A69"/>
    <w:rsid w:val="00545593"/>
    <w:rsid w:val="00551778"/>
    <w:rsid w:val="00556EBF"/>
    <w:rsid w:val="005620FC"/>
    <w:rsid w:val="00577C6C"/>
    <w:rsid w:val="005A62FE"/>
    <w:rsid w:val="005C2FE2"/>
    <w:rsid w:val="005E2BC9"/>
    <w:rsid w:val="00605102"/>
    <w:rsid w:val="006215AA"/>
    <w:rsid w:val="00674FEE"/>
    <w:rsid w:val="006913C9"/>
    <w:rsid w:val="0069470D"/>
    <w:rsid w:val="006D58AA"/>
    <w:rsid w:val="00734F00"/>
    <w:rsid w:val="007A70AE"/>
    <w:rsid w:val="008362E8"/>
    <w:rsid w:val="0085786E"/>
    <w:rsid w:val="008A1768"/>
    <w:rsid w:val="008A489F"/>
    <w:rsid w:val="008B6FE3"/>
    <w:rsid w:val="008F0F33"/>
    <w:rsid w:val="008F4429"/>
    <w:rsid w:val="0093435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37A"/>
    <w:rsid w:val="00B412D4"/>
    <w:rsid w:val="00BE3C22"/>
    <w:rsid w:val="00C0345E"/>
    <w:rsid w:val="00C121D3"/>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5027"/>
    <w:rsid w:val="00EE7F23"/>
    <w:rsid w:val="00EF2368"/>
    <w:rsid w:val="00F24442"/>
    <w:rsid w:val="00F24D1B"/>
    <w:rsid w:val="00F50AE3"/>
    <w:rsid w:val="00F655B7"/>
    <w:rsid w:val="00F656BA"/>
    <w:rsid w:val="00F67CF1"/>
    <w:rsid w:val="00F728AA"/>
    <w:rsid w:val="00F840F0"/>
    <w:rsid w:val="00FB0D0D"/>
    <w:rsid w:val="00FB43B4"/>
    <w:rsid w:val="00FB6B0B"/>
    <w:rsid w:val="00FE574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5A4A61-CC2D-40E7-BE1B-FBD272244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21B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5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5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580_201905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8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88294-E1E6-4A42-AF1C-95545DAB2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A40D4743.dotm</Template>
  <TotalTime>0</TotalTime>
  <Pages>3</Pages>
  <Words>567</Words>
  <Characters>3066</Characters>
  <Application>Microsoft Office Word</Application>
  <DocSecurity>0</DocSecurity>
  <Lines>103</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4580: Provide that proceeds in educational lottery account may be used only for higher education tuition assistance and scholarships - South Carolina Legislature Online</dc:title>
  <dc:creator>Niki Downey</dc:creator>
  <cp:lastModifiedBy>S Volk</cp:lastModifiedBy>
  <cp:revision>2</cp:revision>
  <cp:lastPrinted>2019-05-08T20:33:00Z</cp:lastPrinted>
  <dcterms:created xsi:type="dcterms:W3CDTF">2019-05-14T17:57:00Z</dcterms:created>
  <dcterms:modified xsi:type="dcterms:W3CDTF">2019-05-14T17:57:00Z</dcterms:modified>
</cp:coreProperties>
</file>