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7FF" w:rsidRDefault="00AE47FF" w:rsidP="001D73B8">
      <w:pPr>
        <w:tabs>
          <w:tab w:val="right" w:pos="5933"/>
        </w:tabs>
        <w:suppressAutoHyphens/>
      </w:pPr>
      <w:r>
        <w:rPr>
          <w:strike/>
        </w:rPr>
        <w:t>Indicates Matter Stricken</w:t>
      </w:r>
    </w:p>
    <w:p w:rsidR="00AE47FF" w:rsidRPr="00AE47FF" w:rsidRDefault="00AE47FF" w:rsidP="001D73B8">
      <w:pPr>
        <w:tabs>
          <w:tab w:val="right" w:pos="5933"/>
        </w:tabs>
        <w:suppressAutoHyphens/>
      </w:pPr>
      <w:r>
        <w:rPr>
          <w:u w:val="single"/>
        </w:rPr>
        <w:t>Indicates New Matter</w:t>
      </w:r>
    </w:p>
    <w:p w:rsidR="00AE47FF" w:rsidRDefault="00AE47FF" w:rsidP="001D73B8">
      <w:pPr>
        <w:tabs>
          <w:tab w:val="right" w:pos="5933"/>
        </w:tabs>
        <w:suppressAutoHyphens/>
      </w:pPr>
    </w:p>
    <w:p w:rsidR="006D2D1C" w:rsidRDefault="00AE47FF" w:rsidP="001D73B8">
      <w:pPr>
        <w:tabs>
          <w:tab w:val="right" w:pos="5933"/>
        </w:tabs>
        <w:suppressAutoHyphens/>
      </w:pPr>
      <w:r>
        <w:t>CONFERENCE COMMITTEE REPORT ADOPTED -- NOT PRINTED</w:t>
      </w:r>
    </w:p>
    <w:p w:rsidR="00AE47FF" w:rsidRDefault="00AE47FF" w:rsidP="001D73B8">
      <w:pPr>
        <w:tabs>
          <w:tab w:val="right" w:pos="5933"/>
        </w:tabs>
        <w:suppressAutoHyphens/>
      </w:pPr>
      <w:r>
        <w:t>September 23, 2020</w:t>
      </w:r>
    </w:p>
    <w:p w:rsidR="00AE47FF" w:rsidRDefault="00AE47FF" w:rsidP="001D73B8">
      <w:pPr>
        <w:tabs>
          <w:tab w:val="right" w:pos="5933"/>
        </w:tabs>
        <w:suppressAutoHyphens/>
      </w:pPr>
    </w:p>
    <w:p w:rsidR="00AE47FF" w:rsidRDefault="00AE47FF" w:rsidP="001D73B8">
      <w:pPr>
        <w:tabs>
          <w:tab w:val="right" w:pos="5933"/>
        </w:tabs>
        <w:suppressAutoHyphens/>
      </w:pPr>
    </w:p>
    <w:p w:rsidR="006D2D1C" w:rsidRDefault="006D2D1C" w:rsidP="001D73B8">
      <w:pPr>
        <w:tabs>
          <w:tab w:val="right" w:pos="5933"/>
        </w:tabs>
        <w:suppressAutoHyphens/>
      </w:pPr>
    </w:p>
    <w:p w:rsidR="006D2D1C" w:rsidRPr="006D2D1C" w:rsidRDefault="006D2D1C" w:rsidP="006D2D1C">
      <w:pPr>
        <w:tabs>
          <w:tab w:val="right" w:pos="5933"/>
        </w:tabs>
        <w:suppressAutoHyphens/>
      </w:pPr>
      <w:r>
        <w:tab/>
      </w:r>
      <w:r>
        <w:rPr>
          <w:b/>
          <w:sz w:val="36"/>
        </w:rPr>
        <w:t>H. 3485</w:t>
      </w:r>
    </w:p>
    <w:p w:rsidR="006D2D1C" w:rsidRDefault="006D2D1C" w:rsidP="001D73B8">
      <w:pPr>
        <w:tabs>
          <w:tab w:val="right" w:pos="5933"/>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B714A8">
      <w:pPr>
        <w:tabs>
          <w:tab w:val="right" w:pos="5933"/>
        </w:tabs>
        <w:suppressAutoHyphens/>
      </w:pPr>
      <w:r>
        <w:t xml:space="preserve">S. Printed </w:t>
      </w:r>
      <w:r w:rsidR="004A04F7">
        <w:t>3/4</w:t>
      </w:r>
      <w:r>
        <w:t>/20--S.</w:t>
      </w:r>
      <w:r w:rsidR="00B714A8">
        <w:tab/>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Pr="004A04F7" w:rsidRDefault="001D73B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bookmarkStart w:id="3" w:name="titletop"/>
      <w:bookmarkEnd w:id="3"/>
      <w:r w:rsidRPr="00AE47FF">
        <w:rPr>
          <w:rFonts w:eastAsia="Calibri"/>
          <w:color w:val="000000"/>
          <w:szCs w:val="22"/>
          <w:u w:color="000000"/>
        </w:rPr>
        <w:t>TO AMEND SECTION 12</w:t>
      </w:r>
      <w:r w:rsidRPr="00AE47FF">
        <w:rPr>
          <w:rFonts w:eastAsia="Calibri"/>
          <w:color w:val="000000"/>
          <w:szCs w:val="22"/>
          <w:u w:color="000000"/>
        </w:rPr>
        <w:noBreakHyphen/>
        <w:t>6</w:t>
      </w:r>
      <w:r w:rsidRPr="00AE47FF">
        <w:rPr>
          <w:rFonts w:eastAsia="Calibri"/>
          <w:color w:val="000000"/>
          <w:szCs w:val="22"/>
          <w:u w:color="000000"/>
        </w:rPr>
        <w:noBreakHyphen/>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Pr="00AE47FF">
        <w:rPr>
          <w:rFonts w:eastAsia="Calibri"/>
          <w:color w:val="000000"/>
          <w:szCs w:val="22"/>
          <w:u w:color="000000"/>
        </w:rPr>
        <w:noBreakHyphen/>
        <w:t>6</w:t>
      </w:r>
      <w:r w:rsidRPr="00AE47FF">
        <w:rPr>
          <w:rFonts w:eastAsia="Calibri"/>
          <w:color w:val="000000"/>
          <w:szCs w:val="22"/>
          <w:u w:color="000000"/>
        </w:rPr>
        <w:noBreakHyphen/>
        <w:t xml:space="preserve">5060, RELATING TO VOLUNTARY CONTRIBUTIONS MADE BY AN INDIVIDUAL BY MEANS OF THE INCOME TAX RETURN CHECK OFF, SO AS TO ADD THE DEPARTMENT OF ARCHIVES AND HISTORY. </w:t>
      </w:r>
      <w:bookmarkEnd w:id="1"/>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bookmarkStart w:id="4" w:name="titleend"/>
      <w:bookmarkEnd w:id="4"/>
      <w:r w:rsidRPr="00AE47FF">
        <w:rPr>
          <w:rFonts w:eastAsia="Calibri"/>
          <w:szCs w:val="22"/>
        </w:rPr>
        <w:tab/>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E47FF">
        <w:rPr>
          <w:rFonts w:eastAsia="Calibri"/>
          <w:szCs w:val="22"/>
        </w:rPr>
        <w:t>Be it enacted by the General Assembly of the State of South Carolina:</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szCs w:val="22"/>
        </w:rPr>
        <w:t>SECTION</w:t>
      </w:r>
      <w:r w:rsidRPr="00AE47FF">
        <w:rPr>
          <w:rFonts w:eastAsia="Calibri"/>
          <w:szCs w:val="22"/>
        </w:rPr>
        <w:tab/>
        <w:t>1.</w:t>
      </w:r>
      <w:r w:rsidRPr="00AE47FF">
        <w:rPr>
          <w:rFonts w:eastAsia="Calibri"/>
          <w:szCs w:val="22"/>
        </w:rPr>
        <w:tab/>
      </w:r>
      <w:r w:rsidRPr="00AE47FF">
        <w:rPr>
          <w:rFonts w:eastAsia="Calibri"/>
          <w:color w:val="000000"/>
          <w:szCs w:val="22"/>
          <w:u w:color="000000"/>
        </w:rPr>
        <w:t>A.</w:t>
      </w:r>
      <w:r w:rsidRPr="00AE47FF">
        <w:rPr>
          <w:rFonts w:eastAsia="Calibri"/>
          <w:color w:val="000000"/>
          <w:szCs w:val="22"/>
          <w:u w:color="000000"/>
        </w:rPr>
        <w:tab/>
      </w:r>
      <w:r w:rsidRPr="00AE47FF">
        <w:rPr>
          <w:rFonts w:eastAsia="Calibri"/>
          <w:color w:val="000000"/>
          <w:szCs w:val="22"/>
          <w:u w:color="000000"/>
        </w:rPr>
        <w:tab/>
        <w:t>Section 12</w:t>
      </w:r>
      <w:r w:rsidRPr="00AE47FF">
        <w:rPr>
          <w:rFonts w:eastAsia="Calibri"/>
          <w:color w:val="000000"/>
          <w:szCs w:val="22"/>
          <w:u w:color="000000"/>
        </w:rPr>
        <w:noBreakHyphen/>
        <w:t>6</w:t>
      </w:r>
      <w:r w:rsidRPr="00AE47FF">
        <w:rPr>
          <w:rFonts w:eastAsia="Calibri"/>
          <w:color w:val="000000"/>
          <w:szCs w:val="22"/>
          <w:u w:color="000000"/>
        </w:rPr>
        <w:noBreakHyphen/>
        <w:t>3535(E) of the 1976 Code is amended to read:</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AE47FF">
        <w:rPr>
          <w:rFonts w:eastAsia="Calibri"/>
          <w:color w:val="000000"/>
          <w:szCs w:val="22"/>
          <w:u w:color="000000"/>
        </w:rPr>
        <w:t>“(E)</w:t>
      </w:r>
      <w:r w:rsidRPr="00AE47FF">
        <w:rPr>
          <w:rFonts w:eastAsia="Calibri"/>
          <w:color w:val="000000"/>
          <w:szCs w:val="22"/>
          <w:u w:color="000000"/>
        </w:rPr>
        <w:tab/>
        <w:t>The South Carolina Department of Archives and History shall develop an application and may promulgate regulations</w:t>
      </w:r>
      <w:r w:rsidRPr="00AE47FF">
        <w:rPr>
          <w:rFonts w:eastAsia="Calibri"/>
          <w:strike/>
          <w:color w:val="000000"/>
          <w:szCs w:val="22"/>
          <w:u w:color="000000"/>
        </w:rPr>
        <w:t>, including the establishment of fees,</w:t>
      </w:r>
      <w:r w:rsidRPr="00AE47FF">
        <w:rPr>
          <w:rFonts w:eastAsia="Calibri"/>
          <w:color w:val="000000"/>
          <w:szCs w:val="22"/>
          <w:u w:color="000000"/>
        </w:rPr>
        <w:t xml:space="preserve"> needed to administer the certification process. The Department of Revenue may promulgate regulations, including the establishment of fees, to administer the tax credit.”</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B.</w:t>
      </w:r>
      <w:r w:rsidRPr="00AE47FF">
        <w:rPr>
          <w:rFonts w:eastAsia="Calibri"/>
          <w:color w:val="000000"/>
          <w:szCs w:val="22"/>
          <w:u w:color="000000"/>
        </w:rPr>
        <w:tab/>
        <w:t xml:space="preserve"> Section 12</w:t>
      </w:r>
      <w:r w:rsidRPr="00AE47FF">
        <w:rPr>
          <w:rFonts w:eastAsia="Calibri"/>
          <w:color w:val="000000"/>
          <w:szCs w:val="22"/>
          <w:u w:color="000000"/>
        </w:rPr>
        <w:noBreakHyphen/>
        <w:t>6</w:t>
      </w:r>
      <w:r w:rsidRPr="00AE47FF">
        <w:rPr>
          <w:rFonts w:eastAsia="Calibri"/>
          <w:color w:val="000000"/>
          <w:szCs w:val="22"/>
          <w:u w:color="000000"/>
        </w:rPr>
        <w:noBreakHyphen/>
        <w:t>3535 of the 1976 Code is amended by adding appropriately lettered subsections to read:</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lastRenderedPageBreak/>
        <w:tab/>
        <w:t>“(  )(1)</w:t>
      </w:r>
      <w:r w:rsidRPr="00AE47FF">
        <w:rPr>
          <w:rFonts w:eastAsia="Calibri"/>
          <w:color w:val="000000"/>
          <w:szCs w:val="22"/>
          <w:u w:color="000000"/>
        </w:rPr>
        <w:tab/>
        <w:t>A taxpayer claiming a credit pursuant to this section must pay a preliminary fee and a final fee to the Department of Archives and History for the State Historic Preservation Grant Fund based on the estimated qualified rehabilitation expenses or the actual rehabilitation expenses of the project, respectively, as set forth in items (2) and (3).</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(2)</w:t>
      </w:r>
      <w:r w:rsidRPr="00AE47FF">
        <w:rPr>
          <w:rFonts w:eastAsia="Calibri"/>
          <w:color w:val="000000"/>
          <w:szCs w:val="22"/>
          <w:u w:color="000000"/>
        </w:rPr>
        <w:tab/>
        <w:t>The preliminary fee must be paid before review of an Historic Preservation Certification Application, Part 2, or a Certified Rehabilitation Application, S2.  The fee schedule is as follows: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less than $500,000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0% of estimated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at least $500,000 but less than 2,000,000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.1% of estimated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at least $2,000,000 but less than $4,000,000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.25% of estimated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$4,000,000 or greater</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.5% of estimated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(3)</w:t>
      </w:r>
      <w:r w:rsidRPr="00AE47FF">
        <w:rPr>
          <w:rFonts w:eastAsia="Calibri"/>
          <w:color w:val="000000"/>
          <w:szCs w:val="22"/>
          <w:u w:color="000000"/>
        </w:rPr>
        <w:tab/>
        <w:t>The final fee must be paid before review of an Historic Preservation Certification Application, Part 3, or a Certified Rehabilitation Application, S3, less any amount paid as a preliminary fee.  The fee schedule is as follows: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less than $500,000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0% of actual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at least $500,000 but less than $2,000,000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.25% of actual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at least $2,000,000 but less than $4,000,000</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.5% of actual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r>
      <w:r w:rsidRPr="00AE47FF">
        <w:rPr>
          <w:rFonts w:eastAsia="Calibri"/>
          <w:color w:val="000000"/>
          <w:szCs w:val="22"/>
          <w:u w:color="000000"/>
        </w:rPr>
        <w:tab/>
        <w:t>Projects $4,000,000 or greater</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t>1.0% of actual expenses.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t>(  )</w:t>
      </w:r>
      <w:r w:rsidRPr="00AE47FF">
        <w:rPr>
          <w:rFonts w:eastAsia="Calibri"/>
          <w:color w:val="000000"/>
          <w:szCs w:val="22"/>
          <w:u w:color="000000"/>
        </w:rPr>
        <w:tab/>
        <w:t>The Department of Archives and History shall develop an application process for distribution of funds from the State Historic Preservation Grant Fund, to include eligibility criteria and grant requirements.”</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SECTION</w:t>
      </w:r>
      <w:r w:rsidRPr="00AE47FF">
        <w:rPr>
          <w:rFonts w:eastAsia="Calibri"/>
          <w:color w:val="000000"/>
          <w:szCs w:val="22"/>
          <w:u w:color="000000"/>
        </w:rPr>
        <w:tab/>
        <w:t>2.</w:t>
      </w:r>
      <w:r w:rsidRPr="00AE47FF">
        <w:rPr>
          <w:rFonts w:eastAsia="Calibri"/>
          <w:color w:val="000000"/>
          <w:szCs w:val="22"/>
          <w:u w:color="000000"/>
        </w:rPr>
        <w:tab/>
        <w:t>A.</w:t>
      </w:r>
      <w:r w:rsidRPr="00AE47FF">
        <w:rPr>
          <w:rFonts w:eastAsia="Calibri"/>
          <w:color w:val="000000"/>
          <w:szCs w:val="22"/>
          <w:u w:color="000000"/>
        </w:rPr>
        <w:tab/>
      </w:r>
      <w:r w:rsidRPr="00AE47FF">
        <w:rPr>
          <w:rFonts w:eastAsia="Calibri"/>
          <w:color w:val="000000"/>
          <w:szCs w:val="22"/>
          <w:u w:color="000000"/>
        </w:rPr>
        <w:tab/>
        <w:t>Section 12</w:t>
      </w:r>
      <w:r w:rsidRPr="00AE47FF">
        <w:rPr>
          <w:rFonts w:eastAsia="Calibri"/>
          <w:color w:val="000000"/>
          <w:szCs w:val="22"/>
          <w:u w:color="000000"/>
        </w:rPr>
        <w:noBreakHyphen/>
        <w:t>6</w:t>
      </w:r>
      <w:r w:rsidRPr="00AE47FF">
        <w:rPr>
          <w:rFonts w:eastAsia="Calibri"/>
          <w:color w:val="000000"/>
          <w:szCs w:val="22"/>
          <w:u w:color="000000"/>
        </w:rPr>
        <w:noBreakHyphen/>
        <w:t>5060(A) of the 1976 Code is amended to read:</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ab/>
        <w:t>“(A)</w:t>
      </w:r>
      <w:r w:rsidRPr="00AE47FF">
        <w:rPr>
          <w:rFonts w:eastAsia="Calibri"/>
          <w:color w:val="000000"/>
          <w:szCs w:val="22"/>
          <w:u w:color="000000"/>
        </w:rPr>
        <w:tab/>
        <w:t>Each taxpayer required to file a state individual income tax return may contribute to the War Between the States Heritage Trust Fund established pursuant to Section 51</w:t>
      </w:r>
      <w:r w:rsidRPr="00AE47FF">
        <w:rPr>
          <w:rFonts w:eastAsia="Calibri"/>
          <w:color w:val="000000"/>
          <w:szCs w:val="22"/>
          <w:u w:color="000000"/>
        </w:rPr>
        <w:noBreakHyphen/>
        <w:t>18</w:t>
      </w:r>
      <w:r w:rsidRPr="00AE47FF">
        <w:rPr>
          <w:rFonts w:eastAsia="Calibri"/>
          <w:color w:val="000000"/>
          <w:szCs w:val="22"/>
          <w:u w:color="000000"/>
        </w:rPr>
        <w:noBreakHyphen/>
        <w:t>115, the Nongame Wildlife and Natural Areas Program Fund established pursuant to Section 50</w:t>
      </w:r>
      <w:r w:rsidRPr="00AE47FF">
        <w:rPr>
          <w:rFonts w:eastAsia="Calibri"/>
          <w:color w:val="000000"/>
          <w:szCs w:val="22"/>
          <w:u w:color="000000"/>
        </w:rPr>
        <w:noBreakHyphen/>
        <w:t>1</w:t>
      </w:r>
      <w:r w:rsidRPr="00AE47FF">
        <w:rPr>
          <w:rFonts w:eastAsia="Calibri"/>
          <w:color w:val="000000"/>
          <w:szCs w:val="22"/>
          <w:u w:color="000000"/>
        </w:rPr>
        <w:noBreakHyphen/>
        <w:t>280, the Children’s Trust Fund of South Carolina established pursuant to Section 63</w:t>
      </w:r>
      <w:r w:rsidRPr="00AE47FF">
        <w:rPr>
          <w:rFonts w:eastAsia="Calibri"/>
          <w:color w:val="000000"/>
          <w:szCs w:val="22"/>
          <w:u w:color="000000"/>
        </w:rPr>
        <w:noBreakHyphen/>
        <w:t>11</w:t>
      </w:r>
      <w:r w:rsidRPr="00AE47FF">
        <w:rPr>
          <w:rFonts w:eastAsia="Calibri"/>
          <w:color w:val="000000"/>
          <w:szCs w:val="22"/>
          <w:u w:color="000000"/>
        </w:rPr>
        <w:noBreakHyphen/>
        <w:t xml:space="preserve">910, the Eldercare Trust Fund </w:t>
      </w:r>
      <w:r w:rsidRPr="00AE47FF">
        <w:rPr>
          <w:rFonts w:eastAsia="Calibri"/>
          <w:color w:val="000000"/>
          <w:szCs w:val="22"/>
          <w:u w:color="000000"/>
        </w:rPr>
        <w:lastRenderedPageBreak/>
        <w:t>of South Carolina established pursuant to Section 43</w:t>
      </w:r>
      <w:r w:rsidRPr="00AE47FF">
        <w:rPr>
          <w:rFonts w:eastAsia="Calibri"/>
          <w:color w:val="000000"/>
          <w:szCs w:val="22"/>
          <w:u w:color="000000"/>
        </w:rPr>
        <w:noBreakHyphen/>
        <w:t>21</w:t>
      </w:r>
      <w:r w:rsidRPr="00AE47FF">
        <w:rPr>
          <w:rFonts w:eastAsia="Calibri"/>
          <w:color w:val="000000"/>
          <w:szCs w:val="22"/>
          <w:u w:color="000000"/>
        </w:rPr>
        <w:noBreakHyphen/>
        <w:t>160, the First Steps to School Readiness Fund established pursuant to Section 63</w:t>
      </w:r>
      <w:r w:rsidRPr="00AE47FF">
        <w:rPr>
          <w:rFonts w:eastAsia="Calibri"/>
          <w:color w:val="000000"/>
          <w:szCs w:val="22"/>
          <w:u w:color="000000"/>
        </w:rPr>
        <w:noBreakHyphen/>
        <w:t>11</w:t>
      </w:r>
      <w:r w:rsidRPr="00AE47FF">
        <w:rPr>
          <w:rFonts w:eastAsia="Calibri"/>
          <w:color w:val="000000"/>
          <w:szCs w:val="22"/>
          <w:u w:color="000000"/>
        </w:rPr>
        <w:noBreakHyphen/>
        <w:t>1750, the South Carolina Military Family Relief Fund established pursuant to Article 3, Chapter 11, Title 25, the Donate Life South Carolina established pursuant to Section 44</w:t>
      </w:r>
      <w:r w:rsidRPr="00AE47FF">
        <w:rPr>
          <w:rFonts w:eastAsia="Calibri"/>
          <w:color w:val="000000"/>
          <w:szCs w:val="22"/>
          <w:u w:color="000000"/>
        </w:rPr>
        <w:noBreakHyphen/>
        <w:t>43</w:t>
      </w:r>
      <w:r w:rsidRPr="00AE47FF">
        <w:rPr>
          <w:rFonts w:eastAsia="Calibri"/>
          <w:color w:val="000000"/>
          <w:szCs w:val="22"/>
          <w:u w:color="000000"/>
        </w:rPr>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AE47FF">
        <w:rPr>
          <w:rFonts w:eastAsia="Calibri"/>
          <w:color w:val="000000"/>
          <w:szCs w:val="22"/>
          <w:u w:color="000000"/>
        </w:rPr>
        <w:noBreakHyphen/>
        <w:t>3</w:t>
      </w:r>
      <w:r w:rsidRPr="00AE47FF">
        <w:rPr>
          <w:rFonts w:eastAsia="Calibri"/>
          <w:color w:val="000000"/>
          <w:szCs w:val="22"/>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AE47FF">
        <w:rPr>
          <w:rFonts w:eastAsia="Calibri"/>
          <w:color w:val="000000"/>
          <w:szCs w:val="22"/>
          <w:u w:color="000000"/>
        </w:rPr>
        <w:noBreakHyphen/>
        <w:t>12 public education for use in the manner the General Assembly provides by law, South Carolina Conservation Bank Trust Fund established pursuant to Section 48</w:t>
      </w:r>
      <w:r w:rsidRPr="00AE47FF">
        <w:rPr>
          <w:rFonts w:eastAsia="Calibri"/>
          <w:color w:val="000000"/>
          <w:szCs w:val="22"/>
          <w:u w:color="000000"/>
        </w:rPr>
        <w:noBreakHyphen/>
        <w:t>59</w:t>
      </w:r>
      <w:r w:rsidRPr="00AE47FF">
        <w:rPr>
          <w:rFonts w:eastAsia="Calibri"/>
          <w:color w:val="000000"/>
          <w:szCs w:val="22"/>
          <w:u w:color="000000"/>
        </w:rPr>
        <w:noBreakHyphen/>
        <w:t>60, the Financial Literacy Trust Fund established pursuant to Section 59</w:t>
      </w:r>
      <w:r w:rsidRPr="00AE47FF">
        <w:rPr>
          <w:rFonts w:eastAsia="Calibri"/>
          <w:color w:val="000000"/>
          <w:szCs w:val="22"/>
          <w:u w:color="000000"/>
        </w:rPr>
        <w:noBreakHyphen/>
        <w:t>29</w:t>
      </w:r>
      <w:r w:rsidRPr="00AE47FF">
        <w:rPr>
          <w:rFonts w:eastAsia="Calibri"/>
          <w:color w:val="000000"/>
          <w:szCs w:val="22"/>
          <w:u w:color="000000"/>
        </w:rPr>
        <w:noBreakHyphen/>
        <w:t xml:space="preserve">510, </w:t>
      </w:r>
      <w:r w:rsidRPr="00AE47FF">
        <w:rPr>
          <w:rFonts w:eastAsia="Calibri"/>
          <w:strike/>
          <w:color w:val="000000"/>
          <w:szCs w:val="22"/>
          <w:u w:color="000000"/>
        </w:rPr>
        <w:t>or</w:t>
      </w:r>
      <w:r w:rsidRPr="00AE47FF">
        <w:rPr>
          <w:rFonts w:eastAsia="Calibri"/>
          <w:color w:val="000000"/>
          <w:szCs w:val="22"/>
          <w:u w:color="000000"/>
        </w:rPr>
        <w:t xml:space="preserve"> the South Carolina Association of Habitat for Humanity Affiliates, </w:t>
      </w:r>
      <w:r w:rsidRPr="00AE47FF">
        <w:rPr>
          <w:rFonts w:eastAsia="Calibri"/>
          <w:color w:val="000000"/>
          <w:szCs w:val="22"/>
          <w:u w:val="single" w:color="000000"/>
        </w:rPr>
        <w:t>or the Department of Archives and History and only used by the agency to purchase or preserve collections with significant historical value to the State</w:t>
      </w:r>
      <w:r w:rsidRPr="00AE47FF">
        <w:rPr>
          <w:rFonts w:eastAsia="Calibri"/>
          <w:color w:val="000000"/>
          <w:szCs w:val="22"/>
          <w:u w:color="000000"/>
        </w:rPr>
        <w:t xml:space="preserve"> by designating the contribution on the return. The contribution may be made by reducing the income tax refund or by remitting additional payment by the amount designated.”</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47FF">
        <w:rPr>
          <w:rFonts w:eastAsia="Calibri"/>
          <w:color w:val="000000"/>
          <w:szCs w:val="22"/>
          <w:u w:color="000000"/>
        </w:rPr>
        <w:t>B.</w:t>
      </w:r>
      <w:r w:rsidRPr="00AE47FF">
        <w:rPr>
          <w:rFonts w:eastAsia="Calibri"/>
          <w:color w:val="000000"/>
          <w:szCs w:val="22"/>
          <w:u w:color="000000"/>
        </w:rPr>
        <w:tab/>
      </w:r>
      <w:r w:rsidRPr="00AE47FF">
        <w:rPr>
          <w:rFonts w:eastAsia="Calibri"/>
          <w:color w:val="000000"/>
          <w:szCs w:val="22"/>
          <w:u w:color="000000"/>
        </w:rPr>
        <w:tab/>
        <w:t>Contributions made to the Department of Archives and History as provided in this act may be designated on an income tax return for tax years beginning after 2019.</w:t>
      </w:r>
      <w:r w:rsidRPr="00AE47FF">
        <w:rPr>
          <w:rFonts w:eastAsia="Calibri"/>
          <w:color w:val="000000"/>
          <w:szCs w:val="22"/>
          <w:u w:color="000000"/>
        </w:rPr>
        <w:tab/>
      </w:r>
      <w:r w:rsidRPr="00AE47FF">
        <w:rPr>
          <w:rFonts w:eastAsia="Calibri"/>
          <w:color w:val="000000"/>
          <w:szCs w:val="22"/>
          <w:u w:color="000000"/>
        </w:rPr>
        <w:tab/>
      </w:r>
      <w:r w:rsidRPr="00AE47FF">
        <w:rPr>
          <w:rFonts w:eastAsia="Calibri"/>
          <w:color w:val="000000"/>
          <w:szCs w:val="22"/>
          <w:u w:color="000000"/>
        </w:rPr>
        <w:tab/>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p>
    <w:p w:rsidR="006D2D1C"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AE47FF">
        <w:rPr>
          <w:rFonts w:eastAsia="Calibri"/>
          <w:color w:val="000000"/>
          <w:szCs w:val="22"/>
          <w:u w:color="000000"/>
        </w:rPr>
        <w:t>SECTION</w:t>
      </w:r>
      <w:r w:rsidRPr="00AE47FF">
        <w:rPr>
          <w:rFonts w:eastAsia="Calibri"/>
          <w:color w:val="000000"/>
          <w:szCs w:val="22"/>
          <w:u w:color="000000"/>
        </w:rPr>
        <w:tab/>
        <w:t>3.</w:t>
      </w:r>
      <w:r w:rsidRPr="00AE47FF">
        <w:rPr>
          <w:rFonts w:eastAsia="Calibri"/>
          <w:color w:val="000000"/>
          <w:szCs w:val="22"/>
          <w:u w:color="000000"/>
        </w:rPr>
        <w:tab/>
        <w:t>Except as otherwise provided, this act takes effect upon approval by the Governor and applies to income tax years beginning after 2019.</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zCs w:val="22"/>
        </w:rPr>
      </w:pPr>
      <w:r w:rsidRPr="00AE47FF">
        <w:rPr>
          <w:rFonts w:eastAsia="Calibri"/>
          <w:szCs w:val="22"/>
        </w:rPr>
        <w:t>/s/Sen. Ronnie W. Cromer</w:t>
      </w:r>
      <w:r>
        <w:rPr>
          <w:rFonts w:eastAsia="Calibri"/>
          <w:szCs w:val="22"/>
        </w:rPr>
        <w:tab/>
      </w:r>
      <w:r w:rsidRPr="00AE47FF">
        <w:rPr>
          <w:rFonts w:eastAsia="Calibri"/>
          <w:szCs w:val="22"/>
        </w:rPr>
        <w:tab/>
      </w:r>
      <w:r>
        <w:rPr>
          <w:rFonts w:eastAsia="Calibri"/>
          <w:szCs w:val="22"/>
        </w:rPr>
        <w:tab/>
      </w:r>
      <w:r>
        <w:rPr>
          <w:rFonts w:eastAsia="Calibri"/>
          <w:szCs w:val="22"/>
        </w:rPr>
        <w:tab/>
      </w:r>
      <w:r w:rsidRPr="00AE47FF">
        <w:rPr>
          <w:rFonts w:eastAsia="Calibri"/>
          <w:szCs w:val="22"/>
        </w:rPr>
        <w:t>/s/Rep. Wm. Weston J. Newton</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zCs w:val="22"/>
        </w:rPr>
      </w:pPr>
      <w:r w:rsidRPr="00AE47FF">
        <w:rPr>
          <w:rFonts w:eastAsia="Calibri"/>
          <w:szCs w:val="22"/>
        </w:rPr>
        <w:t>/s/Sen. Floyd Nicholson</w:t>
      </w:r>
      <w:r w:rsidRPr="00AE47FF">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Pr="00AE47FF">
        <w:rPr>
          <w:rFonts w:eastAsia="Calibri"/>
          <w:szCs w:val="22"/>
        </w:rPr>
        <w:t>/s/Rep. Robert Quintin Williams</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Calibri"/>
          <w:spacing w:val="-10"/>
          <w:szCs w:val="22"/>
        </w:rPr>
      </w:pPr>
      <w:r w:rsidRPr="00AE47FF">
        <w:rPr>
          <w:rFonts w:eastAsia="Calibri"/>
          <w:spacing w:val="-10"/>
          <w:szCs w:val="22"/>
        </w:rPr>
        <w:t>/s/Sen. Chauncey K. “Greg” Gregory</w:t>
      </w:r>
      <w:r w:rsidRPr="00AE47FF">
        <w:rPr>
          <w:rFonts w:eastAsia="Calibri"/>
          <w:spacing w:val="-10"/>
          <w:szCs w:val="22"/>
        </w:rPr>
        <w:tab/>
        <w:t>/s/Rep. Joseph Herman Jefferson, Jr.</w:t>
      </w:r>
    </w:p>
    <w:p w:rsidR="00AE47FF" w:rsidRP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rFonts w:eastAsia="Calibri"/>
          <w:szCs w:val="22"/>
        </w:rPr>
        <w:tab/>
      </w:r>
      <w:r w:rsidRPr="00AE47FF">
        <w:rPr>
          <w:rFonts w:eastAsia="Calibri"/>
          <w:szCs w:val="22"/>
        </w:rPr>
        <w:t>On Part of the Senate.</w:t>
      </w:r>
      <w:r w:rsidRPr="00AE47FF">
        <w:rPr>
          <w:rFonts w:eastAsia="Calibri"/>
          <w:szCs w:val="22"/>
        </w:rPr>
        <w:tab/>
      </w:r>
      <w:r w:rsidRPr="00AE47FF">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Pr="00AE47FF">
        <w:rPr>
          <w:rFonts w:eastAsia="Calibri"/>
          <w:szCs w:val="22"/>
        </w:rPr>
        <w:t>On Part of the House.</w:t>
      </w:r>
    </w:p>
    <w:p w:rsidR="00AE47FF" w:rsidRDefault="00AE47FF" w:rsidP="00AE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E22" w:rsidRDefault="00E70E22" w:rsidP="00E70E22">
      <w:pPr>
        <w:suppressAutoHyphens/>
      </w:pPr>
    </w:p>
    <w:sectPr w:rsidR="00E70E22"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D1C" w:rsidRDefault="006D2D1C" w:rsidP="009F0C77">
      <w:r>
        <w:separator/>
      </w:r>
    </w:p>
  </w:endnote>
  <w:endnote w:type="continuationSeparator" w:id="0">
    <w:p w:rsidR="006D2D1C" w:rsidRDefault="006D2D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FA5426-B4A6-44C3-BE21-90CCB15BD8FC}"/>
    <w:embedBold r:id="rId2" w:fontKey="{48DF5559-3DC8-426E-B115-260CA943E5D4}"/>
  </w:font>
  <w:font w:name="Calibri">
    <w:panose1 w:val="020F0502020204030204"/>
    <w:charset w:val="00"/>
    <w:family w:val="swiss"/>
    <w:pitch w:val="variable"/>
    <w:sig w:usb0="E0002EFF" w:usb1="C000247B" w:usb2="00000009" w:usb3="00000000" w:csb0="000001FF" w:csb1="00000000"/>
    <w:embedRegular r:id="rId3" w:fontKey="{6A73259A-556C-4213-80FD-7CCF73B79865}"/>
  </w:font>
  <w:font w:name="Cambria">
    <w:panose1 w:val="02040503050406030204"/>
    <w:charset w:val="00"/>
    <w:family w:val="roman"/>
    <w:pitch w:val="variable"/>
    <w:sig w:usb0="E00006FF" w:usb1="420024FF" w:usb2="02000000" w:usb3="00000000" w:csb0="0000019F" w:csb1="00000000"/>
    <w:embedRegular r:id="rId4" w:fontKey="{405B08B9-B3A1-48A5-BBA8-D95D4DF4CE59}"/>
  </w:font>
  <w:font w:name="Segoe UI">
    <w:panose1 w:val="020B0502040204020203"/>
    <w:charset w:val="00"/>
    <w:family w:val="swiss"/>
    <w:pitch w:val="variable"/>
    <w:sig w:usb0="E4002EFF" w:usb1="C000E47F" w:usb2="00000009" w:usb3="00000000" w:csb0="000001FF" w:csb1="00000000"/>
    <w:embedRegular r:id="rId5" w:fontKey="{B65F2C8E-725D-4D5E-B5FE-F879718EE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D1C" w:rsidRPr="00D81E6A" w:rsidRDefault="006D2D1C" w:rsidP="00D81E6A">
    <w:pPr>
      <w:pStyle w:val="Footer"/>
      <w:tabs>
        <w:tab w:val="clear" w:pos="4680"/>
        <w:tab w:val="clear" w:pos="9360"/>
        <w:tab w:val="center" w:pos="2995"/>
      </w:tabs>
      <w:spacing w:before="120"/>
    </w:pPr>
    <w:r>
      <w:t>[3485-</w:t>
    </w:r>
    <w:r>
      <w:fldChar w:fldCharType="begin"/>
    </w:r>
    <w:r>
      <w:instrText xml:space="preserve"> PAGE  \* MERGEFORMAT </w:instrText>
    </w:r>
    <w:r>
      <w:fldChar w:fldCharType="separate"/>
    </w:r>
    <w:r w:rsidR="00DE78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D1C" w:rsidRPr="00D81E6A" w:rsidRDefault="006D2D1C"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E70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D1C" w:rsidRDefault="006D2D1C" w:rsidP="009F0C77">
      <w:r>
        <w:separator/>
      </w:r>
    </w:p>
  </w:footnote>
  <w:footnote w:type="continuationSeparator" w:id="0">
    <w:p w:rsidR="006D2D1C" w:rsidRDefault="006D2D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46EB"/>
    <w:rsid w:val="0010776B"/>
    <w:rsid w:val="00133E66"/>
    <w:rsid w:val="001435A3"/>
    <w:rsid w:val="00146ED3"/>
    <w:rsid w:val="00151044"/>
    <w:rsid w:val="00172918"/>
    <w:rsid w:val="001D08F2"/>
    <w:rsid w:val="001D3A58"/>
    <w:rsid w:val="001D525B"/>
    <w:rsid w:val="001D73B8"/>
    <w:rsid w:val="001D7F4F"/>
    <w:rsid w:val="001E077B"/>
    <w:rsid w:val="00205238"/>
    <w:rsid w:val="00211414"/>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A04F7"/>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2D1C"/>
    <w:rsid w:val="006D58AA"/>
    <w:rsid w:val="00727366"/>
    <w:rsid w:val="00734F00"/>
    <w:rsid w:val="007A70AE"/>
    <w:rsid w:val="007C7B4F"/>
    <w:rsid w:val="008141E1"/>
    <w:rsid w:val="008362E8"/>
    <w:rsid w:val="0085786E"/>
    <w:rsid w:val="0087129F"/>
    <w:rsid w:val="00881ECD"/>
    <w:rsid w:val="008A1768"/>
    <w:rsid w:val="008A489F"/>
    <w:rsid w:val="008F0F33"/>
    <w:rsid w:val="008F4429"/>
    <w:rsid w:val="0094021A"/>
    <w:rsid w:val="00976E9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7FF"/>
    <w:rsid w:val="00B146FF"/>
    <w:rsid w:val="00B412D4"/>
    <w:rsid w:val="00B714A8"/>
    <w:rsid w:val="00BE3C22"/>
    <w:rsid w:val="00C0345E"/>
    <w:rsid w:val="00C31C95"/>
    <w:rsid w:val="00C3483A"/>
    <w:rsid w:val="00C74E9D"/>
    <w:rsid w:val="00C826DD"/>
    <w:rsid w:val="00C82FD3"/>
    <w:rsid w:val="00C92819"/>
    <w:rsid w:val="00CC6B7B"/>
    <w:rsid w:val="00CD2089"/>
    <w:rsid w:val="00D73A67"/>
    <w:rsid w:val="00D81E6A"/>
    <w:rsid w:val="00D85240"/>
    <w:rsid w:val="00D95C41"/>
    <w:rsid w:val="00D970A9"/>
    <w:rsid w:val="00DE78AF"/>
    <w:rsid w:val="00DF3845"/>
    <w:rsid w:val="00E41911"/>
    <w:rsid w:val="00E44B57"/>
    <w:rsid w:val="00E70E22"/>
    <w:rsid w:val="00E92EEF"/>
    <w:rsid w:val="00EF2368"/>
    <w:rsid w:val="00F05222"/>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 w:type="paragraph" w:styleId="ListParagraph">
    <w:name w:val="List Paragraph"/>
    <w:basedOn w:val="Normal"/>
    <w:uiPriority w:val="34"/>
    <w:qFormat/>
    <w:rsid w:val="006D2D1C"/>
    <w:pPr>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5541-FF46-4C78-9553-5A11F22A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4790</Characters>
  <Application>Microsoft Office Word</Application>
  <DocSecurity>0</DocSecurity>
  <Lines>142</Lines>
  <Paragraphs>35</Paragraphs>
  <ScaleCrop>false</ScaleCrop>
  <HeadingPairs>
    <vt:vector size="2" baseType="variant">
      <vt:variant>
        <vt:lpstr>Title</vt:lpstr>
      </vt:variant>
      <vt:variant>
        <vt:i4>1</vt:i4>
      </vt:variant>
    </vt:vector>
  </HeadingPairs>
  <TitlesOfParts>
    <vt:vector size="1" baseType="lpstr">
      <vt:lpstr>2019-2020 Bill 3485: Subject not yet available - South Carolina Legislature Online</vt:lpstr>
    </vt:vector>
  </TitlesOfParts>
  <Company>LPITS</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(Sep. 23, 2020) - South Carolina Legislature Online</dc:title>
  <dc:creator>Rebecca Turner</dc:creator>
  <cp:lastModifiedBy>Derrick Williamson</cp:lastModifiedBy>
  <cp:revision>2</cp:revision>
  <cp:lastPrinted>2020-04-08T19:46:00Z</cp:lastPrinted>
  <dcterms:created xsi:type="dcterms:W3CDTF">2020-09-23T20:45:00Z</dcterms:created>
  <dcterms:modified xsi:type="dcterms:W3CDTF">2020-09-23T20:45:00Z</dcterms:modified>
</cp:coreProperties>
</file>