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700B" w:rsidRP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700B" w:rsidRDefault="006B7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D51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D5138C" w:rsidRDefault="00D51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2020</w:t>
      </w:r>
    </w:p>
    <w:p w:rsidR="00D5138C" w:rsidRDefault="00D513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Pr="008C156A" w:rsidRDefault="008C156A" w:rsidP="008C156A">
      <w:pPr>
        <w:tabs>
          <w:tab w:val="right" w:pos="5933"/>
        </w:tabs>
        <w:suppressAutoHyphens/>
      </w:pPr>
      <w:r>
        <w:tab/>
      </w:r>
      <w:r>
        <w:rPr>
          <w:b/>
          <w:sz w:val="36"/>
        </w:rPr>
        <w:t>H. 3596</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Clemmons, Bales, Fry, Loftis, Burns, Hewitt, Bannister, Forrester, Herbkersman, Huggins, Lowe, D.C. Moss, B. Newton, W. Newton, Pope, Robinson, Sandifer, Simrill, G.M. Smith, G.R. Smith, Tallon, Toole, Trantham, Johnson, V.S. Moss, Stringer, Willis, Bailey, Elliott, B. Cox, Magnuson, Clary, Hixon, Martin, Davis, Mace, Kimmons, Bennett, Bradley, Jordan, Finlay, Gagnon, McDaniel, Daning, Allison, Collins, McCoy, Atkinson, Hayes, Kirby, Wooten, Ballentine, Caskey, McCravy, Gilliam, Hill, Chellis, Crawford, Taylor, Young, Weeks, Yow, Whitmire, Hosey, Clyburn, Brown, Govan, Moore and Henderson</w:t>
      </w:r>
      <w:r>
        <w:noBreakHyphen/>
        <w:t>Myers</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D5138C" w:rsidP="000F2A69">
      <w:pPr>
        <w:tabs>
          <w:tab w:val="right" w:pos="5933"/>
        </w:tabs>
        <w:suppressAutoHyphens/>
      </w:pPr>
      <w:r>
        <w:t>S. Printed 3/10</w:t>
      </w:r>
      <w:r w:rsidR="008C156A">
        <w:t>/20--S.</w:t>
      </w:r>
      <w:r w:rsidR="000F2A69">
        <w:tab/>
        <w:t>[SEC 3/11/20 11:24 AM]</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8C156A" w:rsidRPr="008C156A" w:rsidRDefault="008C156A" w:rsidP="008C1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6A" w:rsidRDefault="008C15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56A" w:rsidSect="006B70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bookmarkEnd w:id="1"/>
    </w:p>
    <w:p w:rsidR="0060347E"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5138C" w:rsidRDefault="00D51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38C"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698">
        <w:t>SECTION</w:t>
      </w:r>
      <w:r w:rsidRPr="00BB5698">
        <w:tab/>
        <w:t>1.</w:t>
      </w:r>
      <w:r w:rsidRPr="00BB5698">
        <w:tab/>
        <w:t>Section 12</w:t>
      </w:r>
      <w:r w:rsidRPr="00BB5698">
        <w:noBreakHyphen/>
        <w:t>43</w:t>
      </w:r>
      <w:r w:rsidRPr="00BB5698">
        <w:noBreakHyphen/>
        <w:t>220(d)(4) of the 1976 Code is amended to read:</w:t>
      </w: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698">
        <w:tab/>
        <w:t>“</w:t>
      </w:r>
      <w:r w:rsidRPr="00BB5698">
        <w:rPr>
          <w:u w:color="000000" w:themeColor="text1"/>
        </w:rPr>
        <w:t>(4)</w:t>
      </w:r>
      <w:r>
        <w:rPr>
          <w:u w:val="single" w:color="000000" w:themeColor="text1"/>
        </w:rPr>
        <w:t>(A)</w:t>
      </w:r>
      <w:r w:rsidRPr="00BB5698">
        <w:rPr>
          <w:u w:color="000000" w:themeColor="text1"/>
        </w:rPr>
        <w:tab/>
        <w:t>Except as provided pursuant to Section 12</w:t>
      </w:r>
      <w:r w:rsidRPr="00BB5698">
        <w:rPr>
          <w:u w:color="000000" w:themeColor="text1"/>
        </w:rPr>
        <w:noBreakHyphen/>
        <w:t>43</w:t>
      </w:r>
      <w:r w:rsidRPr="00BB5698">
        <w:rPr>
          <w:u w:color="000000" w:themeColor="text1"/>
        </w:rPr>
        <w:noBreakHyphen/>
        <w:t>222, when real property which is in agricultural use and is being valued, assessed, and taxed under the provisions of this article, is applied to a use other than agricultural</w:t>
      </w:r>
      <w:r w:rsidRPr="00BB5698">
        <w:rPr>
          <w:u w:val="single"/>
        </w:rPr>
        <w:t>,</w:t>
      </w:r>
      <w:r w:rsidRPr="00BB5698">
        <w:rPr>
          <w:u w:val="single" w:color="000000" w:themeColor="text1"/>
        </w:rPr>
        <w:t xml:space="preserve"> </w:t>
      </w:r>
      <w:r w:rsidRPr="00BB5698">
        <w:rPr>
          <w:u w:val="single"/>
        </w:rPr>
        <w:t>as evidenced by an action taken by the owner of the real property which is inconsistent with agricultural use</w:t>
      </w:r>
      <w:r w:rsidRPr="00BB5698">
        <w:rPr>
          <w:u w:color="000000" w:themeColor="text1"/>
        </w:rPr>
        <w:t xml:space="preserve">, it is subject to additional taxes, </w:t>
      </w:r>
      <w:r w:rsidRPr="00BB5698">
        <w:rPr>
          <w:strike/>
          <w:u w:color="000000" w:themeColor="text1"/>
        </w:rPr>
        <w:t>hereinafter</w:t>
      </w:r>
      <w:r w:rsidRPr="00BB5698">
        <w:rPr>
          <w:u w:color="000000" w:themeColor="text1"/>
        </w:rPr>
        <w:t xml:space="preserve"> referred to as </w:t>
      </w:r>
      <w:r w:rsidRPr="00BB5698">
        <w:rPr>
          <w:strike/>
          <w:u w:color="000000" w:themeColor="text1"/>
        </w:rPr>
        <w:t>roll</w:t>
      </w:r>
      <w:r w:rsidRPr="00BB5698">
        <w:rPr>
          <w:strike/>
          <w:u w:color="000000" w:themeColor="text1"/>
        </w:rPr>
        <w:noBreakHyphen/>
        <w:t>back</w:t>
      </w:r>
      <w:r w:rsidRPr="00BB5698">
        <w:rPr>
          <w:u w:color="000000" w:themeColor="text1"/>
        </w:rPr>
        <w:t xml:space="preserve"> </w:t>
      </w:r>
      <w:r w:rsidRPr="00BB5698">
        <w:rPr>
          <w:u w:val="single" w:color="000000" w:themeColor="text1"/>
        </w:rPr>
        <w:t>rollback</w:t>
      </w:r>
      <w:r w:rsidRPr="00BB5698">
        <w:rPr>
          <w:u w:color="000000" w:themeColor="text1"/>
        </w:rPr>
        <w:t xml:space="preserve"> taxes, in an amount equal to the difference, if any, between the taxes p</w:t>
      </w:r>
      <w:bookmarkStart w:id="5" w:name="temp"/>
      <w:bookmarkEnd w:id="5"/>
      <w:r w:rsidRPr="00BB5698">
        <w:rPr>
          <w:u w:color="000000" w:themeColor="text1"/>
        </w:rPr>
        <w:t xml:space="preserve">aid or payable on the basis of the valuation and the assessment authorized </w:t>
      </w:r>
      <w:r w:rsidRPr="00BB5698">
        <w:rPr>
          <w:strike/>
          <w:u w:color="000000" w:themeColor="text1"/>
        </w:rPr>
        <w:t>hereunder</w:t>
      </w:r>
      <w:r w:rsidRPr="00BB5698">
        <w:rPr>
          <w:u w:color="000000" w:themeColor="text1"/>
        </w:rPr>
        <w:t xml:space="preserve"> </w:t>
      </w:r>
      <w:r w:rsidRPr="00BB5698">
        <w:rPr>
          <w:u w:val="single" w:color="000000" w:themeColor="text1"/>
        </w:rPr>
        <w:t>pursuant to this item</w:t>
      </w:r>
      <w:r w:rsidRPr="00BB5698">
        <w:rPr>
          <w:u w:color="000000" w:themeColor="text1"/>
        </w:rPr>
        <w:t xml:space="preserve"> and the taxes that would have been paid or payable had the real property been valued, assessed, and taxed as other real property in the taxing district, in the current tax year (the year of change in use) and each of the </w:t>
      </w:r>
      <w:r w:rsidRPr="00BB5698">
        <w:rPr>
          <w:strike/>
          <w:u w:color="000000" w:themeColor="text1"/>
        </w:rPr>
        <w:t>five</w:t>
      </w:r>
      <w:r w:rsidRPr="00BB5698">
        <w:rPr>
          <w:u w:color="000000" w:themeColor="text1"/>
        </w:rPr>
        <w:t xml:space="preserve"> </w:t>
      </w:r>
      <w:r w:rsidRPr="00BB5698">
        <w:rPr>
          <w:u w:val="single"/>
        </w:rPr>
        <w:t>three</w:t>
      </w:r>
      <w:r w:rsidRPr="00BB5698">
        <w:rPr>
          <w:u w:color="000000" w:themeColor="text1"/>
        </w:rPr>
        <w:t xml:space="preserve"> tax years</w:t>
      </w:r>
      <w:r w:rsidRPr="00BB5698">
        <w:t xml:space="preserve"> i</w:t>
      </w:r>
      <w:r w:rsidRPr="00BB5698">
        <w:rPr>
          <w:u w:color="000000" w:themeColor="text1"/>
        </w:rPr>
        <w:t xml:space="preserve">mmediately preceding in which the real property was valued, assessed, and taxed as </w:t>
      </w:r>
      <w:r w:rsidRPr="00BB5698">
        <w:rPr>
          <w:strike/>
          <w:u w:color="000000" w:themeColor="text1"/>
        </w:rPr>
        <w:t>herein</w:t>
      </w:r>
      <w:r w:rsidRPr="00BB5698">
        <w:rPr>
          <w:u w:color="000000" w:themeColor="text1"/>
        </w:rPr>
        <w:t xml:space="preserve"> provided </w:t>
      </w:r>
      <w:r w:rsidRPr="00BB5698">
        <w:rPr>
          <w:u w:val="single" w:color="000000" w:themeColor="text1"/>
        </w:rPr>
        <w:t>in this item</w:t>
      </w:r>
      <w:r w:rsidRPr="00BB5698">
        <w:rPr>
          <w:u w:color="000000" w:themeColor="text1"/>
        </w:rPr>
        <w:t>. If in the tax year in which a change in use of the real property occurs</w:t>
      </w:r>
      <w:r w:rsidRPr="000F2A69">
        <w:rPr>
          <w:u w:val="single"/>
        </w:rPr>
        <w:t>,</w:t>
      </w:r>
      <w:r w:rsidRPr="00BB5698">
        <w:rPr>
          <w:u w:color="000000" w:themeColor="text1"/>
        </w:rPr>
        <w:t xml:space="preserve"> the real property was not valued, assessed, and taxed under this article, then the real property is subject to </w:t>
      </w:r>
      <w:r w:rsidRPr="00BB5698">
        <w:rPr>
          <w:strike/>
          <w:u w:color="000000" w:themeColor="text1"/>
        </w:rPr>
        <w:t>roll</w:t>
      </w:r>
      <w:r w:rsidRPr="00BB5698">
        <w:rPr>
          <w:strike/>
          <w:u w:color="000000" w:themeColor="text1"/>
        </w:rPr>
        <w:noBreakHyphen/>
        <w:t>back</w:t>
      </w:r>
      <w:r w:rsidRPr="00BB5698">
        <w:rPr>
          <w:u w:color="000000" w:themeColor="text1"/>
        </w:rPr>
        <w:t xml:space="preserve"> </w:t>
      </w:r>
      <w:r w:rsidRPr="00BB5698">
        <w:rPr>
          <w:u w:val="single" w:color="000000" w:themeColor="text1"/>
        </w:rPr>
        <w:t>rollback</w:t>
      </w:r>
      <w:r w:rsidRPr="00BB5698">
        <w:rPr>
          <w:u w:color="000000" w:themeColor="text1"/>
        </w:rPr>
        <w:t xml:space="preserve"> </w:t>
      </w:r>
      <w:r w:rsidRPr="00BB5698">
        <w:rPr>
          <w:u w:color="000000" w:themeColor="text1"/>
        </w:rPr>
        <w:lastRenderedPageBreak/>
        <w:t xml:space="preserve">taxes for each of the </w:t>
      </w:r>
      <w:r w:rsidRPr="00BB5698">
        <w:rPr>
          <w:strike/>
          <w:u w:color="000000" w:themeColor="text1"/>
        </w:rPr>
        <w:t>five</w:t>
      </w:r>
      <w:r w:rsidRPr="00BB5698">
        <w:rPr>
          <w:u w:color="000000" w:themeColor="text1"/>
        </w:rPr>
        <w:t xml:space="preserve"> </w:t>
      </w:r>
      <w:r w:rsidRPr="00BB5698">
        <w:rPr>
          <w:u w:val="single"/>
        </w:rPr>
        <w:t>three</w:t>
      </w:r>
      <w:r w:rsidRPr="00BB5698">
        <w:rPr>
          <w:u w:color="000000" w:themeColor="text1"/>
        </w:rPr>
        <w:t xml:space="preserve"> tax years immediately preceding in which the real property was valued, assessed, and taxed </w:t>
      </w:r>
      <w:r w:rsidRPr="00BB5698">
        <w:rPr>
          <w:strike/>
          <w:u w:color="000000" w:themeColor="text1"/>
        </w:rPr>
        <w:t>hereunder</w:t>
      </w:r>
      <w:r w:rsidRPr="00BB5698">
        <w:rPr>
          <w:u w:color="000000" w:themeColor="text1"/>
        </w:rPr>
        <w:t xml:space="preserve"> </w:t>
      </w:r>
      <w:r w:rsidRPr="00BB5698">
        <w:rPr>
          <w:u w:val="single" w:color="000000" w:themeColor="text1"/>
        </w:rPr>
        <w:t>pursuant to this item</w:t>
      </w:r>
      <w:r w:rsidRPr="00BB5698">
        <w:rPr>
          <w:u w:color="000000" w:themeColor="text1"/>
        </w:rPr>
        <w:t xml:space="preserve">. In determining the amounts of the </w:t>
      </w:r>
      <w:r w:rsidRPr="00BB5698">
        <w:rPr>
          <w:strike/>
          <w:u w:color="000000" w:themeColor="text1"/>
        </w:rPr>
        <w:t>roll</w:t>
      </w:r>
      <w:r w:rsidRPr="00BB5698">
        <w:rPr>
          <w:strike/>
          <w:u w:color="000000" w:themeColor="text1"/>
        </w:rPr>
        <w:noBreakHyphen/>
        <w:t>back</w:t>
      </w:r>
      <w:r w:rsidRPr="00BB5698">
        <w:rPr>
          <w:u w:color="000000" w:themeColor="text1"/>
        </w:rPr>
        <w:t xml:space="preserve"> </w:t>
      </w:r>
      <w:r w:rsidRPr="00BB5698">
        <w:rPr>
          <w:u w:val="single" w:color="000000" w:themeColor="text1"/>
        </w:rPr>
        <w:t>rollback</w:t>
      </w:r>
      <w:r w:rsidRPr="00BB5698">
        <w:rPr>
          <w:u w:color="000000" w:themeColor="text1"/>
        </w:rPr>
        <w:t xml:space="preserve"> taxes chargeable on real property which has undergone a change in use, the assessor </w:t>
      </w:r>
      <w:r w:rsidRPr="00BB5698">
        <w:rPr>
          <w:strike/>
          <w:u w:color="000000" w:themeColor="text1"/>
        </w:rPr>
        <w:t>shall</w:t>
      </w:r>
      <w:r w:rsidRPr="00BB5698">
        <w:rPr>
          <w:u w:color="000000" w:themeColor="text1"/>
        </w:rPr>
        <w:t xml:space="preserve"> for </w:t>
      </w:r>
      <w:r w:rsidRPr="00BB5698">
        <w:rPr>
          <w:strike/>
          <w:u w:color="000000" w:themeColor="text1"/>
        </w:rPr>
        <w:t>each of</w:t>
      </w:r>
      <w:r w:rsidRPr="00BB5698">
        <w:rPr>
          <w:u w:color="000000" w:themeColor="text1"/>
        </w:rPr>
        <w:t xml:space="preserve"> the </w:t>
      </w:r>
      <w:r w:rsidRPr="00BB5698">
        <w:rPr>
          <w:strike/>
          <w:u w:color="000000" w:themeColor="text1"/>
        </w:rPr>
        <w:t>roll</w:t>
      </w:r>
      <w:r w:rsidRPr="00BB5698">
        <w:rPr>
          <w:strike/>
          <w:u w:color="000000" w:themeColor="text1"/>
        </w:rPr>
        <w:noBreakHyphen/>
        <w:t>back</w:t>
      </w:r>
      <w:r w:rsidRPr="00BB5698">
        <w:rPr>
          <w:u w:color="000000" w:themeColor="text1"/>
        </w:rPr>
        <w:t xml:space="preserve"> </w:t>
      </w:r>
      <w:r w:rsidRPr="00BB5698">
        <w:rPr>
          <w:u w:val="single" w:color="000000" w:themeColor="text1"/>
        </w:rPr>
        <w:t>rollback</w:t>
      </w:r>
      <w:r w:rsidRPr="00BB5698">
        <w:rPr>
          <w:u w:color="000000" w:themeColor="text1"/>
        </w:rPr>
        <w:t xml:space="preserve"> tax years involved </w:t>
      </w:r>
      <w:r w:rsidRPr="00BB5698">
        <w:rPr>
          <w:u w:val="single" w:color="000000" w:themeColor="text1"/>
        </w:rPr>
        <w:t>shall</w:t>
      </w:r>
      <w:r w:rsidRPr="00BB5698">
        <w:rPr>
          <w:u w:color="000000" w:themeColor="text1"/>
        </w:rPr>
        <w:t xml:space="preserve"> ascertain:</w:t>
      </w: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698">
        <w:rPr>
          <w:u w:color="000000" w:themeColor="text1"/>
        </w:rPr>
        <w:tab/>
      </w:r>
      <w:r w:rsidRPr="00BB5698">
        <w:rPr>
          <w:u w:color="000000" w:themeColor="text1"/>
        </w:rPr>
        <w:tab/>
      </w:r>
      <w:r w:rsidRPr="00BB5698">
        <w:rPr>
          <w:u w:color="000000" w:themeColor="text1"/>
        </w:rPr>
        <w:tab/>
      </w:r>
      <w:r w:rsidRPr="00BB5698">
        <w:rPr>
          <w:strike/>
          <w:u w:color="000000" w:themeColor="text1"/>
        </w:rPr>
        <w:t>(A)</w:t>
      </w:r>
      <w:r>
        <w:rPr>
          <w:u w:val="single" w:color="000000" w:themeColor="text1"/>
        </w:rPr>
        <w:t>(i)</w:t>
      </w:r>
      <w:r w:rsidRPr="00BB5698">
        <w:rPr>
          <w:u w:color="000000" w:themeColor="text1"/>
        </w:rPr>
        <w:tab/>
        <w:t>the fair market value without consideration of the standing timber of such real property under the valuation standard applicable to other real property in the same classification;</w:t>
      </w: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698">
        <w:rPr>
          <w:u w:color="000000" w:themeColor="text1"/>
        </w:rPr>
        <w:tab/>
      </w:r>
      <w:r w:rsidRPr="00BB5698">
        <w:rPr>
          <w:u w:color="000000" w:themeColor="text1"/>
        </w:rPr>
        <w:tab/>
      </w:r>
      <w:r w:rsidRPr="00BB5698">
        <w:rPr>
          <w:u w:color="000000" w:themeColor="text1"/>
        </w:rPr>
        <w:tab/>
      </w:r>
      <w:r w:rsidRPr="00BB5698">
        <w:rPr>
          <w:strike/>
          <w:u w:color="000000" w:themeColor="text1"/>
        </w:rPr>
        <w:t>(B)</w:t>
      </w:r>
      <w:r>
        <w:rPr>
          <w:u w:val="single" w:color="000000" w:themeColor="text1"/>
        </w:rPr>
        <w:t>(ii)</w:t>
      </w:r>
      <w:r w:rsidRPr="00BB5698">
        <w:rPr>
          <w:u w:color="000000" w:themeColor="text1"/>
        </w:rPr>
        <w:tab/>
        <w:t>the amount of the real property assessment for the particular tax year by multiplying such fair market value by the appropriate assessment ratio provided in this article;</w:t>
      </w: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698">
        <w:rPr>
          <w:u w:color="000000" w:themeColor="text1"/>
        </w:rPr>
        <w:tab/>
      </w:r>
      <w:r w:rsidRPr="00BB5698">
        <w:rPr>
          <w:u w:color="000000" w:themeColor="text1"/>
        </w:rPr>
        <w:tab/>
      </w:r>
      <w:r w:rsidRPr="00BB5698">
        <w:rPr>
          <w:u w:color="000000" w:themeColor="text1"/>
        </w:rPr>
        <w:tab/>
      </w:r>
      <w:r w:rsidRPr="00BB5698">
        <w:rPr>
          <w:strike/>
          <w:u w:color="000000" w:themeColor="text1"/>
        </w:rPr>
        <w:t>(C)</w:t>
      </w:r>
      <w:r>
        <w:rPr>
          <w:u w:val="single" w:color="000000" w:themeColor="text1"/>
        </w:rPr>
        <w:t>(iii)</w:t>
      </w:r>
      <w:r w:rsidRPr="00BB5698">
        <w:rPr>
          <w:u w:color="000000" w:themeColor="text1"/>
        </w:rPr>
        <w:tab/>
        <w:t xml:space="preserve">the amount of the additional assessment on the real property for the particular tax year by deducting the amount of the actual assessment on the real property for that year from the amount of the real property assessment determined under </w:t>
      </w:r>
      <w:r w:rsidRPr="00BB5698">
        <w:rPr>
          <w:strike/>
          <w:u w:color="000000" w:themeColor="text1"/>
        </w:rPr>
        <w:t>(B)</w:t>
      </w:r>
      <w:r>
        <w:rPr>
          <w:u w:val="single" w:color="000000" w:themeColor="text1"/>
        </w:rPr>
        <w:t>(ii)</w:t>
      </w:r>
      <w:r w:rsidRPr="00BB5698">
        <w:rPr>
          <w:u w:color="000000" w:themeColor="text1"/>
        </w:rPr>
        <w:t xml:space="preserve"> of this section;</w:t>
      </w:r>
    </w:p>
    <w:p w:rsidR="00D5138C" w:rsidRPr="00BB5698"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698">
        <w:rPr>
          <w:u w:color="000000" w:themeColor="text1"/>
        </w:rPr>
        <w:tab/>
      </w:r>
      <w:r w:rsidRPr="00BB5698">
        <w:rPr>
          <w:u w:color="000000" w:themeColor="text1"/>
        </w:rPr>
        <w:tab/>
      </w:r>
      <w:r w:rsidRPr="00BB5698">
        <w:rPr>
          <w:u w:color="000000" w:themeColor="text1"/>
        </w:rPr>
        <w:tab/>
      </w:r>
      <w:r w:rsidRPr="00BB5698">
        <w:rPr>
          <w:strike/>
          <w:u w:color="000000" w:themeColor="text1"/>
        </w:rPr>
        <w:t>(D)</w:t>
      </w:r>
      <w:r>
        <w:rPr>
          <w:u w:val="single" w:color="000000" w:themeColor="text1"/>
        </w:rPr>
        <w:t>(iv)</w:t>
      </w:r>
      <w:r w:rsidRPr="00BB5698">
        <w:rPr>
          <w:u w:color="000000" w:themeColor="text1"/>
        </w:rPr>
        <w:tab/>
        <w:t xml:space="preserve">the amount of the </w:t>
      </w:r>
      <w:r w:rsidRPr="00BB5698">
        <w:rPr>
          <w:strike/>
          <w:u w:color="000000" w:themeColor="text1"/>
        </w:rPr>
        <w:t>roll</w:t>
      </w:r>
      <w:r w:rsidRPr="00BB5698">
        <w:rPr>
          <w:strike/>
          <w:u w:color="000000" w:themeColor="text1"/>
        </w:rPr>
        <w:noBreakHyphen/>
        <w:t>back</w:t>
      </w:r>
      <w:r w:rsidRPr="00BB5698">
        <w:rPr>
          <w:u w:color="000000" w:themeColor="text1"/>
        </w:rPr>
        <w:t xml:space="preserve"> </w:t>
      </w:r>
      <w:r w:rsidRPr="00BB5698">
        <w:rPr>
          <w:u w:val="single" w:color="000000" w:themeColor="text1"/>
        </w:rPr>
        <w:t>rollback</w:t>
      </w:r>
      <w:r w:rsidRPr="00BB5698">
        <w:rPr>
          <w:u w:color="000000" w:themeColor="text1"/>
        </w:rPr>
        <w:t xml:space="preserve"> for that tax year by multiplying the amount of the additional assessment determined under </w:t>
      </w:r>
      <w:r w:rsidRPr="00BB5698">
        <w:rPr>
          <w:strike/>
          <w:u w:color="000000" w:themeColor="text1"/>
        </w:rPr>
        <w:t>(C)</w:t>
      </w:r>
      <w:r>
        <w:rPr>
          <w:u w:val="single" w:color="000000" w:themeColor="text1"/>
        </w:rPr>
        <w:t>(iii)</w:t>
      </w:r>
      <w:r w:rsidRPr="00BB5698">
        <w:rPr>
          <w:u w:color="000000" w:themeColor="text1"/>
        </w:rPr>
        <w:t xml:space="preserve"> of this section by the property tax rate of the taxing district applicable for that tax year.</w:t>
      </w:r>
    </w:p>
    <w:p w:rsidR="00D5138C"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napToGrid w:val="0"/>
        </w:rPr>
        <w:tab/>
      </w:r>
      <w:r>
        <w:rPr>
          <w:snapToGrid w:val="0"/>
        </w:rPr>
        <w:tab/>
      </w:r>
      <w:r>
        <w:rPr>
          <w:snapToGrid w:val="0"/>
          <w:u w:val="single"/>
        </w:rPr>
        <w:t>(B)</w:t>
      </w:r>
      <w:r>
        <w:rPr>
          <w:snapToGrid w:val="0"/>
        </w:rPr>
        <w:tab/>
      </w:r>
      <w:r w:rsidRPr="005F7D7B">
        <w:rPr>
          <w:color w:val="000000" w:themeColor="text1"/>
          <w:u w:val="single" w:color="000000" w:themeColor="text1"/>
        </w:rPr>
        <w:t>For a taxpayer applying real property to a use other than agriculture pursuant to this section, the discou</w:t>
      </w:r>
      <w:r>
        <w:rPr>
          <w:color w:val="000000" w:themeColor="text1"/>
          <w:u w:val="single" w:color="000000" w:themeColor="text1"/>
        </w:rPr>
        <w:t xml:space="preserve">nted value allowed pursuant to Section </w:t>
      </w:r>
      <w:r w:rsidRPr="005F7D7B">
        <w:rPr>
          <w:color w:val="000000" w:themeColor="text1"/>
          <w:u w:val="single" w:color="000000" w:themeColor="text1"/>
        </w:rPr>
        <w:t>12</w:t>
      </w:r>
      <w:r w:rsidRPr="005F7D7B">
        <w:rPr>
          <w:color w:val="000000" w:themeColor="text1"/>
          <w:u w:val="single" w:color="000000" w:themeColor="text1"/>
        </w:rPr>
        <w:noBreakHyphen/>
        <w:t>43</w:t>
      </w:r>
      <w:r w:rsidRPr="005F7D7B">
        <w:rPr>
          <w:color w:val="000000" w:themeColor="text1"/>
          <w:u w:val="single" w:color="000000" w:themeColor="text1"/>
        </w:rPr>
        <w:noBreakHyphen/>
        <w:t>225(A) may only apply for three property tax years.</w:t>
      </w:r>
      <w:r>
        <w:rPr>
          <w:color w:val="000000" w:themeColor="text1"/>
          <w:u w:color="000000" w:themeColor="text1"/>
        </w:rPr>
        <w:t>”</w:t>
      </w:r>
      <w:r>
        <w:rPr>
          <w:color w:val="000000" w:themeColor="text1"/>
          <w:u w:color="000000" w:themeColor="text1"/>
        </w:rPr>
        <w:tab/>
      </w:r>
    </w:p>
    <w:p w:rsidR="00D5138C" w:rsidRPr="00E75F9E" w:rsidRDefault="00D5138C" w:rsidP="00D51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38C" w:rsidRDefault="00D5138C" w:rsidP="000F2A69">
      <w:pPr>
        <w:tabs>
          <w:tab w:val="left" w:pos="1080"/>
          <w:tab w:val="left" w:pos="1350"/>
        </w:tabs>
      </w:pPr>
      <w:r w:rsidRPr="00E75F9E">
        <w:t>SECTION</w:t>
      </w:r>
      <w:r w:rsidRPr="00E75F9E">
        <w:tab/>
        <w:t>2.</w:t>
      </w:r>
      <w:r w:rsidRPr="00E75F9E">
        <w:tab/>
        <w:t>This act takes effect January 1, 2021, and applies for agricultural real property changed to another use after 2020.</w:t>
      </w:r>
    </w:p>
    <w:p w:rsidR="00CA5E2F" w:rsidRDefault="00137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AC7" w:rsidRDefault="00986AC7" w:rsidP="00986AC7">
      <w:pPr>
        <w:suppressAutoHyphens/>
      </w:pPr>
    </w:p>
    <w:sectPr w:rsidR="00986AC7" w:rsidSect="006B70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38C" w:rsidRDefault="00D5138C" w:rsidP="009F0C77">
      <w:r>
        <w:separator/>
      </w:r>
    </w:p>
  </w:endnote>
  <w:endnote w:type="continuationSeparator" w:id="0">
    <w:p w:rsidR="00D5138C" w:rsidRDefault="00D51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47A28DB-84EA-4A26-9783-615BB5F2599A}"/>
    <w:embedBold r:id="rId2" w:fontKey="{DFB1788C-3DA0-405A-9026-04E86C9407AA}"/>
  </w:font>
  <w:font w:name="Calibri">
    <w:panose1 w:val="020F0502020204030204"/>
    <w:charset w:val="00"/>
    <w:family w:val="swiss"/>
    <w:pitch w:val="variable"/>
    <w:sig w:usb0="E0002AFF" w:usb1="C000247B" w:usb2="00000009" w:usb3="00000000" w:csb0="000001FF" w:csb1="00000000"/>
    <w:embedRegular r:id="rId3" w:fontKey="{A842EB12-3848-4C98-8305-D08BCD62795A}"/>
  </w:font>
  <w:font w:name="Segoe UI">
    <w:panose1 w:val="020B0502040204020203"/>
    <w:charset w:val="00"/>
    <w:family w:val="swiss"/>
    <w:pitch w:val="variable"/>
    <w:sig w:usb0="E4002EFF" w:usb1="C000E47F" w:usb2="00000009" w:usb3="00000000" w:csb0="000001FF" w:csb1="00000000"/>
    <w:embedRegular r:id="rId4" w:fontKey="{03EA2DA8-6D07-4042-926A-E69A79A4C415}"/>
  </w:font>
  <w:font w:name="Cambria">
    <w:panose1 w:val="02040503050406030204"/>
    <w:charset w:val="00"/>
    <w:family w:val="roman"/>
    <w:pitch w:val="variable"/>
    <w:sig w:usb0="E00006FF" w:usb1="420024FF" w:usb2="02000000" w:usb3="00000000" w:csb0="0000019F" w:csb1="00000000"/>
    <w:embedRegular r:id="rId5" w:fontKey="{8A2AD3BF-FC92-4411-AE1A-47C46D9DE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38C" w:rsidRPr="007C3B6F" w:rsidRDefault="00D5138C" w:rsidP="007C3B6F">
    <w:pPr>
      <w:pStyle w:val="Footer"/>
      <w:tabs>
        <w:tab w:val="clear" w:pos="4680"/>
        <w:tab w:val="clear" w:pos="9360"/>
        <w:tab w:val="center" w:pos="2995"/>
      </w:tabs>
      <w:spacing w:before="120"/>
    </w:pPr>
    <w:r>
      <w:t>[3596-</w:t>
    </w:r>
    <w:r>
      <w:fldChar w:fldCharType="begin"/>
    </w:r>
    <w:r>
      <w:instrText xml:space="preserve"> PAGE  \* MERGEFORMAT </w:instrText>
    </w:r>
    <w:r>
      <w:fldChar w:fldCharType="separate"/>
    </w:r>
    <w:r w:rsidR="000F2A6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38C" w:rsidRPr="007C3B6F" w:rsidRDefault="00D5138C"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sidR="00986A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38C" w:rsidRDefault="00D5138C" w:rsidP="009F0C77">
      <w:r>
        <w:separator/>
      </w:r>
    </w:p>
  </w:footnote>
  <w:footnote w:type="continuationSeparator" w:id="0">
    <w:p w:rsidR="00D5138C" w:rsidRDefault="00D51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1869"/>
    <w:rsid w:val="00015CD6"/>
    <w:rsid w:val="000E0100"/>
    <w:rsid w:val="000E1785"/>
    <w:rsid w:val="000F2A69"/>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F50"/>
    <w:rsid w:val="005E2BC9"/>
    <w:rsid w:val="0060347E"/>
    <w:rsid w:val="00605102"/>
    <w:rsid w:val="006215AA"/>
    <w:rsid w:val="006913C9"/>
    <w:rsid w:val="0069470D"/>
    <w:rsid w:val="006B700B"/>
    <w:rsid w:val="006D58AA"/>
    <w:rsid w:val="00734F00"/>
    <w:rsid w:val="007A70AE"/>
    <w:rsid w:val="007C3B6F"/>
    <w:rsid w:val="008362E8"/>
    <w:rsid w:val="0085786E"/>
    <w:rsid w:val="008A1768"/>
    <w:rsid w:val="008A489F"/>
    <w:rsid w:val="008C156A"/>
    <w:rsid w:val="008F0F33"/>
    <w:rsid w:val="008F4429"/>
    <w:rsid w:val="0094021A"/>
    <w:rsid w:val="00986AC7"/>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E3C22"/>
    <w:rsid w:val="00C0345E"/>
    <w:rsid w:val="00C16F1C"/>
    <w:rsid w:val="00C31C95"/>
    <w:rsid w:val="00C3483A"/>
    <w:rsid w:val="00C74E9D"/>
    <w:rsid w:val="00C826DD"/>
    <w:rsid w:val="00C82FD3"/>
    <w:rsid w:val="00C92819"/>
    <w:rsid w:val="00C95430"/>
    <w:rsid w:val="00CA5E2F"/>
    <w:rsid w:val="00CB5227"/>
    <w:rsid w:val="00CC6B7B"/>
    <w:rsid w:val="00CD2089"/>
    <w:rsid w:val="00D5138C"/>
    <w:rsid w:val="00D73A67"/>
    <w:rsid w:val="00D970A9"/>
    <w:rsid w:val="00DF3845"/>
    <w:rsid w:val="00E41911"/>
    <w:rsid w:val="00E44B57"/>
    <w:rsid w:val="00E92EEF"/>
    <w:rsid w:val="00EA291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2A356-906A-476C-9E56-3F952F29D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DA68B1E5</Template>
  <TotalTime>0</TotalTime>
  <Pages>3</Pages>
  <Words>646</Words>
  <Characters>3396</Characters>
  <Application>Microsoft Office Word</Application>
  <DocSecurity>0</DocSecurity>
  <Lines>96</Lines>
  <Paragraphs>21</Paragraphs>
  <ScaleCrop>false</ScaleCrop>
  <HeadingPairs>
    <vt:vector size="2" baseType="variant">
      <vt:variant>
        <vt:lpstr>Title</vt:lpstr>
      </vt:variant>
      <vt:variant>
        <vt:i4>1</vt:i4>
      </vt:variant>
    </vt:vector>
  </HeadingPairs>
  <TitlesOfParts>
    <vt:vector size="1" baseType="lpstr">
      <vt:lpstr>2019-2020 Bill 3596: Subject not yet available - South Carolina Legislature Online</vt:lpstr>
    </vt:vector>
  </TitlesOfParts>
  <Company>LPITS</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(Mar. 11, 2020) - South Carolina Legislature Online</dc:title>
  <dc:creator>Niki Downey</dc:creator>
  <cp:lastModifiedBy>Lavarres Lynch</cp:lastModifiedBy>
  <cp:revision>2</cp:revision>
  <cp:lastPrinted>2020-03-10T20:03:00Z</cp:lastPrinted>
  <dcterms:created xsi:type="dcterms:W3CDTF">2020-03-11T15:24:00Z</dcterms:created>
  <dcterms:modified xsi:type="dcterms:W3CDTF">2020-03-11T15:24:00Z</dcterms:modified>
</cp:coreProperties>
</file>