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AE9"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2F" w:rsidRPr="0064552F" w:rsidRDefault="0064552F" w:rsidP="0064552F">
      <w:pPr>
        <w:tabs>
          <w:tab w:val="right" w:pos="5933"/>
        </w:tabs>
        <w:suppressAutoHyphens/>
      </w:pPr>
      <w:r>
        <w:tab/>
      </w:r>
      <w:r>
        <w:rPr>
          <w:b/>
          <w:sz w:val="36"/>
        </w:rPr>
        <w:t>H. 3730</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West, G.R. Smith, Johnson, Hardee, Dillard, Robinson, Garvin, S. Williams, Sandifer, Martin, W. Newton and B. Newton</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64552F" w:rsidRP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2F" w:rsidRDefault="0064552F"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552F" w:rsidSect="00E94A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353" w:rsidRDefault="00116353"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0D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3F43">
        <w:rPr>
          <w:color w:val="000000" w:themeColor="text1"/>
          <w:u w:color="000000" w:themeColor="text1"/>
        </w:rPr>
        <w:t>TO AMEND SECTION 44</w:t>
      </w:r>
      <w:r>
        <w:rPr>
          <w:color w:val="000000" w:themeColor="text1"/>
          <w:u w:color="000000" w:themeColor="text1"/>
        </w:rPr>
        <w:noBreakHyphen/>
      </w:r>
      <w:r w:rsidRPr="001C3F43">
        <w:rPr>
          <w:color w:val="000000" w:themeColor="text1"/>
          <w:u w:color="000000" w:themeColor="text1"/>
        </w:rPr>
        <w:t>53</w:t>
      </w:r>
      <w:r>
        <w:rPr>
          <w:color w:val="000000" w:themeColor="text1"/>
          <w:u w:color="000000" w:themeColor="text1"/>
        </w:rPr>
        <w:noBreakHyphen/>
      </w:r>
      <w:r w:rsidRPr="001C3F43">
        <w:rPr>
          <w:color w:val="000000" w:themeColor="text1"/>
          <w:u w:color="000000" w:themeColor="text1"/>
        </w:rPr>
        <w:t>370, CODE OF LAWS OF SOUTH CAROLINA, 1976, RELATING IN PART TO THE TRAFFICKING OFFENSES FOR CERTAIN CONTROLLED SUBSTANCES, SO AS TO ADD AN OFFENSE FOR “TRAFFICKING IN FENTANYL”.</w:t>
      </w:r>
      <w:bookmarkEnd w:id="1"/>
    </w:p>
    <w:p w:rsidR="0064552F" w:rsidRDefault="00645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552F" w:rsidRDefault="00645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 1.  Section 44</w:t>
      </w:r>
      <w:r w:rsidRPr="008E4FE3">
        <w:rPr>
          <w:u w:color="000000" w:themeColor="text1"/>
        </w:rPr>
        <w:noBreakHyphen/>
        <w:t>53</w:t>
      </w:r>
      <w:r w:rsidRPr="008E4FE3">
        <w:rPr>
          <w:u w:color="000000" w:themeColor="text1"/>
        </w:rPr>
        <w:noBreakHyphen/>
        <w:t>190(B) of the 1976 Code is amended by adding an appropriately numbered item at the end to read:</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  )</w:t>
      </w:r>
      <w:r w:rsidRPr="008E4FE3">
        <w:rPr>
          <w:u w:color="000000" w:themeColor="text1"/>
        </w:rPr>
        <w:tab/>
        <w:t>Fentanyl</w:t>
      </w:r>
      <w:r w:rsidRPr="008E4FE3">
        <w:rPr>
          <w:u w:color="000000" w:themeColor="text1"/>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(A)</w:t>
      </w:r>
      <w:r w:rsidRPr="008E4FE3">
        <w:rPr>
          <w:u w:color="000000" w:themeColor="text1"/>
        </w:rPr>
        <w:tab/>
        <w:t>replacement of the phenyl portion of the phenethyl group by any monocycle, whether or not further substituted in or on the monocycle;</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(B)</w:t>
      </w:r>
      <w:r w:rsidRPr="008E4FE3">
        <w:rPr>
          <w:u w:color="000000" w:themeColor="text1"/>
        </w:rPr>
        <w:tab/>
        <w:t>substitution in or on the phenethyl group with alkyl, alkenyl, alkoxyl, hydroxyl, halo, haloalkyl, amino or nitro groups;</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(C)</w:t>
      </w:r>
      <w:r w:rsidRPr="008E4FE3">
        <w:rPr>
          <w:u w:color="000000" w:themeColor="text1"/>
        </w:rPr>
        <w:tab/>
        <w:t>substitution in or on the piperidine ring with alkyl, alkenyl, alkoxyl, ester, ether, hydroxyl, halo, haloalkyl, amino or nitro groups;</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(D)</w:t>
      </w:r>
      <w:r w:rsidRPr="008E4FE3">
        <w:rPr>
          <w:u w:color="000000" w:themeColor="text1"/>
        </w:rPr>
        <w:tab/>
        <w:t>replacement of the aniline ring with any aromatic monocycle whether or not further substituted in or on the aromatic monocycle; and/or</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lastRenderedPageBreak/>
        <w:tab/>
      </w:r>
      <w:r w:rsidRPr="008E4FE3">
        <w:rPr>
          <w:u w:color="000000" w:themeColor="text1"/>
        </w:rPr>
        <w:tab/>
        <w:t>(E)</w:t>
      </w:r>
      <w:r w:rsidRPr="008E4FE3">
        <w:rPr>
          <w:u w:color="000000" w:themeColor="text1"/>
        </w:rPr>
        <w:tab/>
        <w:t>replacement of the N</w:t>
      </w:r>
      <w:r w:rsidRPr="008E4FE3">
        <w:rPr>
          <w:u w:color="000000" w:themeColor="text1"/>
        </w:rPr>
        <w:noBreakHyphen/>
        <w:t>propionyl group by another acyl group.</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This definition includes, but is not limited to, the following substances:</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4FE3">
        <w:rPr>
          <w:u w:color="000000" w:themeColor="text1"/>
        </w:rPr>
        <w:t>Methylacetyl fentanyl, Alpha</w:t>
      </w:r>
      <w:r w:rsidRPr="008E4FE3">
        <w:rPr>
          <w:u w:color="000000" w:themeColor="text1"/>
        </w:rPr>
        <w:noBreakHyphen/>
        <w:t>methylfentanyl,  Methylthiofentanyl, Benzylfentanyl, Beta</w:t>
      </w:r>
      <w:r w:rsidRPr="008E4FE3">
        <w:rPr>
          <w:u w:color="000000" w:themeColor="text1"/>
        </w:rPr>
        <w:noBreakHyphen/>
        <w:t>hydroxyfentanyl, Beta</w:t>
      </w:r>
      <w:r w:rsidRPr="008E4FE3">
        <w:rPr>
          <w:u w:color="000000" w:themeColor="text1"/>
        </w:rPr>
        <w:noBreakHyphen/>
        <w:t>hydroxy</w:t>
      </w:r>
      <w:r w:rsidRPr="008E4FE3">
        <w:rPr>
          <w:u w:color="000000" w:themeColor="text1"/>
        </w:rPr>
        <w:noBreakHyphen/>
        <w:t>3</w:t>
      </w:r>
      <w:r w:rsidRPr="008E4FE3">
        <w:rPr>
          <w:u w:color="000000" w:themeColor="text1"/>
        </w:rPr>
        <w:noBreakHyphen/>
        <w:t>methylfentanyl, 3</w:t>
      </w:r>
      <w:r w:rsidRPr="008E4FE3">
        <w:rPr>
          <w:u w:color="000000" w:themeColor="text1"/>
        </w:rPr>
        <w:noBreakHyphen/>
        <w:t>Methylfentanyl,  Methylthiofentanyl, Fluorofentanyl, Thenylfentanyl or Thienyl fentanyl, Thiofentanyl, Acetylfentanyl, Butyrylfentanyl, Beta</w:t>
      </w:r>
      <w:r w:rsidRPr="008E4FE3">
        <w:rPr>
          <w:u w:color="000000" w:themeColor="text1"/>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Pr="008E4FE3">
        <w:rPr>
          <w:u w:color="000000" w:themeColor="text1"/>
        </w:rPr>
        <w:noBreakHyphen/>
        <w:t>53</w:t>
      </w:r>
      <w:r w:rsidRPr="008E4FE3">
        <w:rPr>
          <w:u w:color="000000" w:themeColor="text1"/>
        </w:rPr>
        <w:noBreakHyphen/>
        <w:t>370(e) of the 1976 Code is amended by adding an appropriately numbered item at the end to read:</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 )</w:t>
      </w:r>
      <w:r w:rsidRPr="008E4FE3">
        <w:rPr>
          <w:u w:color="000000" w:themeColor="text1"/>
        </w:rPr>
        <w:tab/>
        <w:t>four grams or more of any fentanyl or fentanyl</w:t>
      </w:r>
      <w:r w:rsidRPr="008E4FE3">
        <w:rPr>
          <w:u w:color="000000" w:themeColor="text1"/>
        </w:rPr>
        <w:noBreakHyphen/>
        <w:t>related substance, as described in Section 44</w:t>
      </w:r>
      <w:r w:rsidRPr="008E4FE3">
        <w:rPr>
          <w:u w:color="000000" w:themeColor="text1"/>
        </w:rPr>
        <w:noBreakHyphen/>
        <w:t>53</w:t>
      </w:r>
      <w:r w:rsidRPr="008E4FE3">
        <w:rPr>
          <w:u w:color="000000" w:themeColor="text1"/>
        </w:rPr>
        <w:noBreakHyphen/>
        <w:t>190 or 44</w:t>
      </w:r>
      <w:r w:rsidRPr="008E4FE3">
        <w:rPr>
          <w:u w:color="000000" w:themeColor="text1"/>
        </w:rPr>
        <w:noBreakHyphen/>
        <w:t>53</w:t>
      </w:r>
      <w:r w:rsidRPr="008E4FE3">
        <w:rPr>
          <w:u w:color="000000" w:themeColor="text1"/>
        </w:rPr>
        <w:noBreakHyphen/>
        <w:t>210, or four grams or more of any mixture containing fentanyl or any fentanyl-related substance, is guilty of a felony which is known as ‘trafficking in fentanyl’ and, upon conviction, must be punished as follows:</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ten years and a fine of up to fifty thousand dollars; and</w:t>
      </w: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twenty years and a fine of up to one hundred thousand dollars.”</w:t>
      </w: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552F" w:rsidRPr="008E4FE3"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3.</w:t>
      </w:r>
      <w:r w:rsidRPr="008E4FE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8E4FE3">
        <w:rPr>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64552F"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20DE8" w:rsidRDefault="0064552F"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FE3">
        <w:rPr>
          <w:u w:color="000000" w:themeColor="text1"/>
        </w:rPr>
        <w:t>SECTION</w:t>
      </w:r>
      <w:r w:rsidRPr="008E4FE3">
        <w:rPr>
          <w:u w:color="000000" w:themeColor="text1"/>
        </w:rPr>
        <w:tab/>
        <w:t>4.</w:t>
      </w:r>
      <w:r w:rsidRPr="008E4FE3">
        <w:rPr>
          <w:u w:color="000000" w:themeColor="text1"/>
        </w:rPr>
        <w:tab/>
        <w:t>This act takes effect upon approval by the Governor.</w:t>
      </w:r>
    </w:p>
    <w:p w:rsidR="009C32D7" w:rsidRDefault="00866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8E1" w:rsidRDefault="00A108E1" w:rsidP="00A108E1">
      <w:pPr>
        <w:suppressAutoHyphens/>
      </w:pPr>
    </w:p>
    <w:sectPr w:rsidR="00A108E1" w:rsidSect="00E94A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25" w:rsidRDefault="00283B25" w:rsidP="009F0C77">
      <w:r>
        <w:separator/>
      </w:r>
    </w:p>
  </w:endnote>
  <w:endnote w:type="continuationSeparator" w:id="0">
    <w:p w:rsidR="00283B25" w:rsidRDefault="00283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3515EB-8946-477E-AD04-A7ABF0BB8681}"/>
    <w:embedBold r:id="rId2" w:fontKey="{377F4DF5-15E4-43CA-B7C4-1151F49D861D}"/>
  </w:font>
  <w:font w:name="Calibri">
    <w:panose1 w:val="020F0502020204030204"/>
    <w:charset w:val="00"/>
    <w:family w:val="swiss"/>
    <w:pitch w:val="variable"/>
    <w:sig w:usb0="E0002AFF" w:usb1="C000247B" w:usb2="00000009" w:usb3="00000000" w:csb0="000001FF" w:csb1="00000000"/>
    <w:embedRegular r:id="rId3" w:fontKey="{B29207D6-4442-421C-9B64-8526D800B15C}"/>
  </w:font>
  <w:font w:name="Segoe UI">
    <w:panose1 w:val="020B0502040204020203"/>
    <w:charset w:val="00"/>
    <w:family w:val="swiss"/>
    <w:pitch w:val="variable"/>
    <w:sig w:usb0="E4002EFF" w:usb1="C000E47F" w:usb2="00000009" w:usb3="00000000" w:csb0="000001FF" w:csb1="00000000"/>
    <w:embedRegular r:id="rId4" w:fontKey="{C945E02F-E23F-4CDD-8019-043C24C150B5}"/>
  </w:font>
  <w:font w:name="Cambria">
    <w:panose1 w:val="02040503050406030204"/>
    <w:charset w:val="00"/>
    <w:family w:val="roman"/>
    <w:pitch w:val="variable"/>
    <w:sig w:usb0="E00006FF" w:usb1="420024FF" w:usb2="02000000" w:usb3="00000000" w:csb0="0000019F" w:csb1="00000000"/>
    <w:embedRegular r:id="rId5" w:fontKey="{068B04E0-6C79-4873-AF56-99899BE84F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2D7" w:rsidRPr="00116353" w:rsidRDefault="00116353" w:rsidP="00116353">
    <w:pPr>
      <w:pStyle w:val="Footer"/>
      <w:tabs>
        <w:tab w:val="clear" w:pos="4680"/>
        <w:tab w:val="clear" w:pos="9360"/>
        <w:tab w:val="center" w:pos="2995"/>
      </w:tabs>
      <w:spacing w:before="120"/>
    </w:pPr>
    <w:r>
      <w:t>[3730</w:t>
    </w:r>
    <w:r w:rsidR="00E94AE9">
      <w:t>-</w:t>
    </w:r>
    <w:r w:rsidR="00E94AE9">
      <w:fldChar w:fldCharType="begin"/>
    </w:r>
    <w:r w:rsidR="00E94AE9">
      <w:instrText xml:space="preserve"> PAGE  \* MERGEFORMAT </w:instrText>
    </w:r>
    <w:r w:rsidR="00E94AE9">
      <w:fldChar w:fldCharType="separate"/>
    </w:r>
    <w:r w:rsidR="00C32AA8">
      <w:rPr>
        <w:noProof/>
      </w:rPr>
      <w:t>1</w:t>
    </w:r>
    <w:r w:rsidR="00E94AE9">
      <w:fldChar w:fldCharType="end"/>
    </w:r>
    <w:r w:rsidR="00E94AE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E9" w:rsidRPr="00116353" w:rsidRDefault="00E94AE9" w:rsidP="00116353">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A108E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25" w:rsidRDefault="00283B25" w:rsidP="009F0C77">
      <w:r>
        <w:separator/>
      </w:r>
    </w:p>
  </w:footnote>
  <w:footnote w:type="continuationSeparator" w:id="0">
    <w:p w:rsidR="00283B25" w:rsidRDefault="00283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1VR19"/>
    <w:docVar w:name="CoverBillType" w:val="b"/>
    <w:docVar w:name="DocPath" w:val="L:\Council\bills\CC\15451VR19.DOCX"/>
    <w:docVar w:name="dvBillNumber" w:val="3730"/>
    <w:docVar w:name="dvBillNumberPrefix" w:val="H. "/>
    <w:docVar w:name="dvOriginalBody" w:val="House"/>
    <w:docVar w:name="dvSteno" w:val="CC"/>
    <w:docVar w:name="NameofBody" w:val="h"/>
    <w:docVar w:name="vGroup2" w:val="Council"/>
  </w:docVars>
  <w:rsids>
    <w:rsidRoot w:val="00620DE8"/>
    <w:rsid w:val="00011869"/>
    <w:rsid w:val="00015CD6"/>
    <w:rsid w:val="000E0100"/>
    <w:rsid w:val="000E1785"/>
    <w:rsid w:val="000F40FA"/>
    <w:rsid w:val="001035F1"/>
    <w:rsid w:val="0010776B"/>
    <w:rsid w:val="00116353"/>
    <w:rsid w:val="00133E66"/>
    <w:rsid w:val="001435A3"/>
    <w:rsid w:val="00146ED3"/>
    <w:rsid w:val="00151044"/>
    <w:rsid w:val="001D08F2"/>
    <w:rsid w:val="001D3A58"/>
    <w:rsid w:val="001D525B"/>
    <w:rsid w:val="001D7F4F"/>
    <w:rsid w:val="00205238"/>
    <w:rsid w:val="002321B6"/>
    <w:rsid w:val="00250967"/>
    <w:rsid w:val="002543C8"/>
    <w:rsid w:val="0025541D"/>
    <w:rsid w:val="00267D99"/>
    <w:rsid w:val="00283B2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DE8"/>
    <w:rsid w:val="006215AA"/>
    <w:rsid w:val="006243FE"/>
    <w:rsid w:val="0064552F"/>
    <w:rsid w:val="00682D85"/>
    <w:rsid w:val="006913C9"/>
    <w:rsid w:val="0069470D"/>
    <w:rsid w:val="006D58AA"/>
    <w:rsid w:val="00701D7A"/>
    <w:rsid w:val="00734F00"/>
    <w:rsid w:val="007A70AE"/>
    <w:rsid w:val="008362E8"/>
    <w:rsid w:val="0085786E"/>
    <w:rsid w:val="008662C4"/>
    <w:rsid w:val="008A1768"/>
    <w:rsid w:val="008A489F"/>
    <w:rsid w:val="008F0F33"/>
    <w:rsid w:val="008F4429"/>
    <w:rsid w:val="0094021A"/>
    <w:rsid w:val="009B44AF"/>
    <w:rsid w:val="009C32D7"/>
    <w:rsid w:val="009C6A0B"/>
    <w:rsid w:val="009F0C77"/>
    <w:rsid w:val="009F4DD1"/>
    <w:rsid w:val="00A02543"/>
    <w:rsid w:val="00A108E1"/>
    <w:rsid w:val="00A41684"/>
    <w:rsid w:val="00A64E80"/>
    <w:rsid w:val="00A72BCD"/>
    <w:rsid w:val="00A741D9"/>
    <w:rsid w:val="00A833AB"/>
    <w:rsid w:val="00A83CF0"/>
    <w:rsid w:val="00A9741D"/>
    <w:rsid w:val="00AC34A2"/>
    <w:rsid w:val="00AD1C9A"/>
    <w:rsid w:val="00AD4B17"/>
    <w:rsid w:val="00B412D4"/>
    <w:rsid w:val="00BE3C22"/>
    <w:rsid w:val="00C0345E"/>
    <w:rsid w:val="00C31C95"/>
    <w:rsid w:val="00C32AA8"/>
    <w:rsid w:val="00C3483A"/>
    <w:rsid w:val="00C74E9D"/>
    <w:rsid w:val="00C826DD"/>
    <w:rsid w:val="00C82FD3"/>
    <w:rsid w:val="00C92819"/>
    <w:rsid w:val="00CC6B7B"/>
    <w:rsid w:val="00CD2089"/>
    <w:rsid w:val="00D208EC"/>
    <w:rsid w:val="00D73A67"/>
    <w:rsid w:val="00D970A9"/>
    <w:rsid w:val="00DB7045"/>
    <w:rsid w:val="00DF3845"/>
    <w:rsid w:val="00E41911"/>
    <w:rsid w:val="00E44B57"/>
    <w:rsid w:val="00E92EEF"/>
    <w:rsid w:val="00E9323B"/>
    <w:rsid w:val="00E94AE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68D3A-A46B-4323-9DFC-96765FD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1C9B-F61F-4FA8-9C6A-CA9A7379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4</Pages>
  <Words>611</Words>
  <Characters>3593</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3730 Text of Previous Version (Apr. 9, 2019) - South Carolina Legislature Online</dc:title>
  <dc:creator>Chris Charlton</dc:creator>
  <cp:lastModifiedBy>Miriam Cook</cp:lastModifiedBy>
  <cp:revision>2</cp:revision>
  <cp:lastPrinted>2019-01-14T21:49:00Z</cp:lastPrinted>
  <dcterms:created xsi:type="dcterms:W3CDTF">2019-04-10T02:39:00Z</dcterms:created>
  <dcterms:modified xsi:type="dcterms:W3CDTF">2019-04-10T02:39:00Z</dcterms:modified>
</cp:coreProperties>
</file>