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047" w:rsidRDefault="006310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71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0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4C0C">
        <w:rPr>
          <w:color w:val="000000" w:themeColor="text1"/>
          <w:u w:color="000000" w:themeColor="text1"/>
        </w:rPr>
        <w:t>TO AMEND SECTION 12</w:t>
      </w:r>
      <w:r w:rsidR="00C90BF6">
        <w:rPr>
          <w:color w:val="000000" w:themeColor="text1"/>
          <w:u w:color="000000" w:themeColor="text1"/>
        </w:rPr>
        <w:noBreakHyphen/>
      </w:r>
      <w:r w:rsidRPr="00D54C0C">
        <w:rPr>
          <w:color w:val="000000" w:themeColor="text1"/>
          <w:u w:color="000000" w:themeColor="text1"/>
        </w:rPr>
        <w:t>6</w:t>
      </w:r>
      <w:r w:rsidR="00C90BF6">
        <w:rPr>
          <w:color w:val="000000" w:themeColor="text1"/>
          <w:u w:color="000000" w:themeColor="text1"/>
        </w:rPr>
        <w:noBreakHyphen/>
      </w:r>
      <w:r w:rsidRPr="00D54C0C">
        <w:rPr>
          <w:color w:val="000000" w:themeColor="text1"/>
          <w:u w:color="000000" w:themeColor="text1"/>
        </w:rPr>
        <w:t>3530, CODE OF LAWS OF SOUTH CAROLINA, 1976, RELATING TO COMMUNITY DEVELOPMENT TAX CREDITS, SO AS TO ALLOW A TAX CREDIT OF FIFTY PERCENT OF ANY CASH DONATION TO A COMMUNITY DEVELOPMENT CORPORATION OR COMMUNITY DEVELOPMENT FINANCIAL INSTITUTIONS, TO DELETE AN AGGREGATE CREDIT PROVISION AND SET AN ANNUAL LIMIT, TO ESTABLISH TAX CREDIT RESERVE ACCOUNTS FOR THE FIRST THREE QUARTERS OF EACH TAX YEAR SO AS TO AVOID THE DEPLETION OF CREDITS BY AN INDIVIDUAL TAXPAYER, TO DELETE THE PRO</w:t>
      </w:r>
      <w:r w:rsidR="00C90BF6">
        <w:rPr>
          <w:color w:val="000000" w:themeColor="text1"/>
          <w:u w:color="000000" w:themeColor="text1"/>
        </w:rPr>
        <w:noBreakHyphen/>
      </w:r>
      <w:r w:rsidRPr="00D54C0C">
        <w:rPr>
          <w:color w:val="000000" w:themeColor="text1"/>
          <w:u w:color="000000" w:themeColor="text1"/>
        </w:rPr>
        <w:t>RATA DISTRIBUTION OF TAX CREDITS, TO ALLOW FINANCIAL INSTITUTIONS WITH TAX LIABILITIES IN THIS STATE TO INVEST IN COMMUNITY DEVELOPMENT CORPORATIONS FOR THE PURPOSE OF RECEIVING A TAX CREDIT, AND TO PROVIDE THAT RETURNS ON INVESTMENTS IN CERTIFIED COMMUNITY DEVELOPMENT CORPORATIONS AND CERTIFIED COMMUNITY DEVELOPMENT FINANCIAL INSTITUTIONS MAY NOT EXCEED THE TOTAL AMOUNT OF THE INITIAL INVESTMENT; AND TO AMEND SECTION 4 OF ACT 314 OF 2000, AS AMENDED, RELATING TO COMMUNITY DEVELOPMENT CORPORATIONS AND FINANCIAL INSTITUTIONS, SO AS TO EXTEND THE PROVISIONS OF THE SOUTH CAROLINA COMMUNITY ECONOMIC DEVELOPMENT ACT UNTIL JUNE 30, 2023.</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712C" w:rsidRDefault="00067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712C" w:rsidRDefault="00067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1.</w:t>
      </w:r>
      <w:r w:rsidRPr="0042216F">
        <w:tab/>
        <w:t>Section 12</w:t>
      </w:r>
      <w:r w:rsidR="00C90BF6">
        <w:noBreakHyphen/>
      </w:r>
      <w:r w:rsidRPr="0042216F">
        <w:t>6</w:t>
      </w:r>
      <w:r w:rsidR="00C90BF6">
        <w:noBreakHyphen/>
      </w:r>
      <w:r w:rsidRPr="0042216F">
        <w:t>3530(A), (B), (C), (D), (E), (F), and (L) of the 1976 Code is amended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tab/>
        <w:t>“</w:t>
      </w:r>
      <w:r w:rsidRPr="0042216F">
        <w:rPr>
          <w:color w:val="000000" w:themeColor="text1"/>
          <w:u w:color="000000" w:themeColor="text1"/>
        </w:rPr>
        <w:t>(A)</w:t>
      </w:r>
      <w:r w:rsidRPr="0042216F">
        <w:rPr>
          <w:color w:val="000000" w:themeColor="text1"/>
          <w:u w:color="000000" w:themeColor="text1"/>
        </w:rPr>
        <w:tab/>
        <w:t>A taxpayer may claim as a credit against his state income tax, bank tax, or premium tax liability thirty</w:t>
      </w:r>
      <w:r w:rsidR="00C90BF6">
        <w:rPr>
          <w:color w:val="000000" w:themeColor="text1"/>
          <w:u w:color="000000" w:themeColor="text1"/>
        </w:rPr>
        <w:noBreakHyphen/>
      </w:r>
      <w:r w:rsidRPr="0042216F">
        <w:rPr>
          <w:color w:val="000000" w:themeColor="text1"/>
          <w:u w:color="000000" w:themeColor="text1"/>
        </w:rPr>
        <w:t xml:space="preserve">three percent of all </w:t>
      </w:r>
      <w:r w:rsidRPr="0042216F">
        <w:rPr>
          <w:strike/>
          <w:color w:val="000000" w:themeColor="text1"/>
          <w:u w:color="000000" w:themeColor="text1"/>
        </w:rPr>
        <w:t>amounts invested</w:t>
      </w:r>
      <w:r w:rsidRPr="0042216F">
        <w:rPr>
          <w:color w:val="000000" w:themeColor="text1"/>
        </w:rPr>
        <w:t xml:space="preserve"> </w:t>
      </w:r>
      <w:r w:rsidRPr="0042216F">
        <w:rPr>
          <w:color w:val="000000" w:themeColor="text1"/>
          <w:u w:val="single"/>
        </w:rPr>
        <w:t>equity investments</w:t>
      </w:r>
      <w:r w:rsidRPr="0042216F">
        <w:rPr>
          <w:color w:val="000000" w:themeColor="text1"/>
          <w:u w:color="000000" w:themeColor="text1"/>
        </w:rPr>
        <w:t xml:space="preserve"> in a </w:t>
      </w:r>
      <w:r w:rsidRPr="0042216F">
        <w:rPr>
          <w:color w:val="000000" w:themeColor="text1"/>
          <w:u w:val="single" w:color="000000" w:themeColor="text1"/>
        </w:rPr>
        <w:t>certified</w:t>
      </w:r>
      <w:r w:rsidRPr="0042216F">
        <w:rPr>
          <w:color w:val="000000" w:themeColor="text1"/>
          <w:u w:color="000000" w:themeColor="text1"/>
        </w:rPr>
        <w:t xml:space="preserve"> community development corporation or in a community development financial institution, as defined in Section 34</w:t>
      </w:r>
      <w:r w:rsidR="00C90BF6">
        <w:rPr>
          <w:color w:val="000000" w:themeColor="text1"/>
          <w:u w:color="000000" w:themeColor="text1"/>
        </w:rPr>
        <w:noBreakHyphen/>
      </w:r>
      <w:r w:rsidRPr="0042216F">
        <w:rPr>
          <w:color w:val="000000" w:themeColor="text1"/>
          <w:u w:color="000000" w:themeColor="text1"/>
        </w:rPr>
        <w:t>43</w:t>
      </w:r>
      <w:r w:rsidR="00C90BF6">
        <w:rPr>
          <w:color w:val="000000" w:themeColor="text1"/>
          <w:u w:color="000000" w:themeColor="text1"/>
        </w:rPr>
        <w:noBreakHyphen/>
      </w:r>
      <w:r w:rsidRPr="0042216F">
        <w:rPr>
          <w:color w:val="000000" w:themeColor="text1"/>
          <w:u w:color="000000" w:themeColor="text1"/>
        </w:rPr>
        <w:t xml:space="preserve">20(2) or (3).  </w:t>
      </w:r>
      <w:r w:rsidRPr="0042216F">
        <w:rPr>
          <w:color w:val="000000" w:themeColor="text1"/>
          <w:u w:val="single"/>
        </w:rPr>
        <w:t>A taxpayer that makes a cash donation to a certified community development corporation or community development financial institution may claim a credit equal to fifty percent of the donation.</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00C90BF6">
        <w:rPr>
          <w:color w:val="000000" w:themeColor="text1"/>
          <w:u w:color="000000" w:themeColor="text1"/>
        </w:rPr>
        <w:noBreakHyphen/>
      </w:r>
      <w:r w:rsidRPr="0042216F">
        <w:rPr>
          <w:color w:val="000000" w:themeColor="text1"/>
          <w:u w:color="000000" w:themeColor="text1"/>
        </w:rPr>
        <w:t>43</w:t>
      </w:r>
      <w:r w:rsidR="00C90BF6">
        <w:rPr>
          <w:color w:val="000000" w:themeColor="text1"/>
          <w:u w:color="000000" w:themeColor="text1"/>
        </w:rPr>
        <w:noBreakHyphen/>
      </w:r>
      <w:r w:rsidRPr="0042216F">
        <w:rPr>
          <w:color w:val="000000" w:themeColor="text1"/>
          <w:u w:color="000000" w:themeColor="text1"/>
        </w:rPr>
        <w:t xml:space="preserve">20(2) or (3) and certifying that the credit taken or available to that taxpayer will not exceed the </w:t>
      </w:r>
      <w:r w:rsidRPr="0042216F">
        <w:rPr>
          <w:color w:val="000000" w:themeColor="text1"/>
          <w:u w:val="single" w:color="000000" w:themeColor="text1"/>
        </w:rPr>
        <w:t>annual</w:t>
      </w:r>
      <w:r w:rsidRPr="0042216F">
        <w:rPr>
          <w:color w:val="000000" w:themeColor="text1"/>
          <w:u w:color="000000" w:themeColor="text1"/>
        </w:rPr>
        <w:t xml:space="preserve"> aggregate </w:t>
      </w:r>
      <w:r w:rsidRPr="0042216F">
        <w:rPr>
          <w:strike/>
          <w:color w:val="000000" w:themeColor="text1"/>
          <w:u w:color="000000" w:themeColor="text1"/>
        </w:rPr>
        <w:t>five million</w:t>
      </w:r>
      <w:r w:rsidRPr="0042216F">
        <w:rPr>
          <w:color w:val="000000" w:themeColor="text1"/>
          <w:u w:color="000000" w:themeColor="text1"/>
        </w:rPr>
        <w:t xml:space="preserve"> dollar limitation </w:t>
      </w:r>
      <w:r w:rsidRPr="0042216F">
        <w:rPr>
          <w:strike/>
          <w:color w:val="000000" w:themeColor="text1"/>
          <w:u w:color="000000" w:themeColor="text1"/>
        </w:rPr>
        <w:t>of all those credits as</w:t>
      </w:r>
      <w:r w:rsidRPr="0042216F">
        <w:rPr>
          <w:color w:val="000000" w:themeColor="text1"/>
          <w:u w:color="000000" w:themeColor="text1"/>
        </w:rPr>
        <w:t xml:space="preserve"> provided in subsection (B) </w:t>
      </w:r>
      <w:r w:rsidRPr="0042216F">
        <w:rPr>
          <w:strike/>
          <w:color w:val="000000" w:themeColor="text1"/>
          <w:u w:color="000000" w:themeColor="text1"/>
        </w:rPr>
        <w:t>when added to the credits previously taken or available to other taxpayers making similar investments</w:t>
      </w:r>
      <w:r w:rsidRPr="0042216F">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5B0E68" w:rsidRPr="00E51934"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(B)</w:t>
      </w:r>
      <w:r w:rsidRPr="0042216F">
        <w:rPr>
          <w:color w:val="000000" w:themeColor="text1"/>
          <w:u w:color="000000" w:themeColor="text1"/>
        </w:rPr>
        <w:tab/>
        <w:t xml:space="preserve">The total amount of credits allowed pursuant to this section may not exceed in the aggregate </w:t>
      </w:r>
      <w:r w:rsidRPr="0042216F">
        <w:rPr>
          <w:strike/>
          <w:color w:val="000000" w:themeColor="text1"/>
          <w:u w:color="000000" w:themeColor="text1"/>
        </w:rPr>
        <w:t>five million dollars for all taxpayers and all</w:t>
      </w:r>
      <w:r w:rsidRPr="0042216F">
        <w:rPr>
          <w:strike/>
          <w:color w:val="000000" w:themeColor="text1"/>
        </w:rPr>
        <w:t xml:space="preserve"> calendar</w:t>
      </w:r>
      <w:r w:rsidRPr="0042216F">
        <w:rPr>
          <w:strike/>
          <w:color w:val="000000" w:themeColor="text1"/>
          <w:u w:color="000000" w:themeColor="text1"/>
        </w:rPr>
        <w:t xml:space="preserve"> years and one million dollars for all taxpayers in one calendar year</w:t>
      </w:r>
      <w:r w:rsidRPr="00E51934">
        <w:rPr>
          <w:strike/>
          <w:color w:val="000000" w:themeColor="text1"/>
          <w:u w:color="000000" w:themeColor="text1"/>
        </w:rPr>
        <w:t>.</w:t>
      </w:r>
      <w:r>
        <w:rPr>
          <w:color w:val="000000" w:themeColor="text1"/>
          <w:u w:val="single" w:color="000000" w:themeColor="text1"/>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(1)</w:t>
      </w:r>
      <w:r w:rsidRPr="0042216F">
        <w:rPr>
          <w:color w:val="000000" w:themeColor="text1"/>
        </w:rPr>
        <w:tab/>
      </w:r>
      <w:r w:rsidRPr="0042216F">
        <w:rPr>
          <w:color w:val="000000" w:themeColor="text1"/>
          <w:u w:val="single"/>
        </w:rPr>
        <w:t>one million dollars for all taxpayers in tax year 20</w:t>
      </w:r>
      <w:r>
        <w:rPr>
          <w:color w:val="000000" w:themeColor="text1"/>
          <w:u w:val="single"/>
        </w:rPr>
        <w:t>19</w:t>
      </w:r>
      <w:r w:rsidRPr="0042216F">
        <w:rPr>
          <w:color w:val="000000" w:themeColor="text1"/>
          <w:u w:val="single"/>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(2)</w:t>
      </w:r>
      <w:r w:rsidRPr="0042216F">
        <w:rPr>
          <w:color w:val="000000" w:themeColor="text1"/>
        </w:rPr>
        <w:tab/>
      </w:r>
      <w:r w:rsidRPr="0042216F">
        <w:rPr>
          <w:color w:val="000000" w:themeColor="text1"/>
          <w:u w:val="single"/>
        </w:rPr>
        <w:t>two million dollars for all taxpayers in tax year 20</w:t>
      </w:r>
      <w:r>
        <w:rPr>
          <w:color w:val="000000" w:themeColor="text1"/>
          <w:u w:val="single"/>
        </w:rPr>
        <w:t>20</w:t>
      </w:r>
      <w:r w:rsidRPr="0042216F">
        <w:rPr>
          <w:color w:val="000000" w:themeColor="text1"/>
          <w:u w:val="single"/>
        </w:rPr>
        <w:t>; and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rPr>
        <w:tab/>
      </w:r>
      <w:r w:rsidRPr="0042216F">
        <w:rPr>
          <w:color w:val="000000" w:themeColor="text1"/>
        </w:rPr>
        <w:tab/>
      </w:r>
      <w:r w:rsidRPr="0042216F">
        <w:rPr>
          <w:color w:val="000000" w:themeColor="text1"/>
          <w:u w:val="single"/>
        </w:rPr>
        <w:t>(3)</w:t>
      </w:r>
      <w:r w:rsidRPr="0042216F">
        <w:rPr>
          <w:color w:val="000000" w:themeColor="text1"/>
        </w:rPr>
        <w:tab/>
      </w:r>
      <w:r w:rsidRPr="0042216F">
        <w:rPr>
          <w:color w:val="000000" w:themeColor="text1"/>
          <w:u w:val="single"/>
        </w:rPr>
        <w:t>three million dollars for all taxpayers in all tax years after 20</w:t>
      </w:r>
      <w:r>
        <w:rPr>
          <w:color w:val="000000" w:themeColor="text1"/>
          <w:u w:val="single"/>
        </w:rPr>
        <w:t>20</w:t>
      </w:r>
      <w:r w:rsidRPr="0042216F">
        <w:rPr>
          <w:color w:val="000000" w:themeColor="text1"/>
          <w:u w:val="single"/>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(C)</w:t>
      </w:r>
      <w:r w:rsidRPr="0042216F">
        <w:rPr>
          <w:color w:val="000000" w:themeColor="text1"/>
          <w:u w:color="000000" w:themeColor="text1"/>
        </w:rPr>
        <w:tab/>
      </w:r>
      <w:r w:rsidRPr="0042216F">
        <w:rPr>
          <w:color w:val="000000" w:themeColor="text1"/>
          <w:u w:val="single" w:color="000000" w:themeColor="text1"/>
        </w:rPr>
        <w:t>The Department of Commerce shall authorize the tax credits each year on a first</w:t>
      </w:r>
      <w:r w:rsidR="00C90BF6">
        <w:rPr>
          <w:color w:val="000000" w:themeColor="text1"/>
          <w:u w:val="single" w:color="000000" w:themeColor="text1"/>
        </w:rPr>
        <w:noBreakHyphen/>
      </w:r>
      <w:r w:rsidRPr="0042216F">
        <w:rPr>
          <w:color w:val="000000" w:themeColor="text1"/>
          <w:u w:val="single" w:color="000000" w:themeColor="text1"/>
        </w:rPr>
        <w:t>come, first</w:t>
      </w:r>
      <w:r w:rsidR="00C90BF6">
        <w:rPr>
          <w:color w:val="000000" w:themeColor="text1"/>
          <w:u w:val="single" w:color="000000" w:themeColor="text1"/>
        </w:rPr>
        <w:noBreakHyphen/>
      </w:r>
      <w:r w:rsidRPr="0042216F">
        <w:rPr>
          <w:color w:val="000000" w:themeColor="text1"/>
          <w:u w:val="single" w:color="000000" w:themeColor="text1"/>
        </w:rPr>
        <w:t>served basis.</w:t>
      </w:r>
      <w:r w:rsidRPr="0042216F">
        <w:rPr>
          <w:color w:val="000000" w:themeColor="text1"/>
          <w:u w:color="000000" w:themeColor="text1"/>
        </w:rPr>
        <w:t xml:space="preserve">  A single community development corporation or community development financial institution may not receive more than twenty</w:t>
      </w:r>
      <w:r w:rsidR="00C90BF6">
        <w:rPr>
          <w:color w:val="000000" w:themeColor="text1"/>
          <w:u w:color="000000" w:themeColor="text1"/>
        </w:rPr>
        <w:noBreakHyphen/>
      </w:r>
      <w:r w:rsidRPr="0042216F">
        <w:rPr>
          <w:color w:val="000000" w:themeColor="text1"/>
          <w:u w:color="000000" w:themeColor="text1"/>
        </w:rPr>
        <w:t xml:space="preserve">five percent of the total </w:t>
      </w:r>
      <w:r w:rsidRPr="0042216F">
        <w:rPr>
          <w:color w:val="000000" w:themeColor="text1"/>
          <w:u w:val="single" w:color="000000" w:themeColor="text1"/>
        </w:rPr>
        <w:t>annual</w:t>
      </w:r>
      <w:r w:rsidRPr="0042216F">
        <w:rPr>
          <w:color w:val="000000" w:themeColor="text1"/>
          <w:u w:color="000000" w:themeColor="text1"/>
        </w:rPr>
        <w:t xml:space="preserve"> tax credits authorized pursuant to this section</w:t>
      </w:r>
      <w:r w:rsidRPr="00EC52FC">
        <w:rPr>
          <w:color w:val="000000" w:themeColor="text1"/>
          <w:u w:color="000000" w:themeColor="text1"/>
        </w:rPr>
        <w:t xml:space="preserve"> </w:t>
      </w:r>
      <w:r w:rsidRPr="0042216F">
        <w:rPr>
          <w:strike/>
          <w:color w:val="000000" w:themeColor="text1"/>
          <w:u w:color="000000" w:themeColor="text1"/>
        </w:rPr>
        <w:t>in any one calendar year</w:t>
      </w:r>
      <w:r w:rsidRPr="0042216F">
        <w:rPr>
          <w:color w:val="000000" w:themeColor="text1"/>
          <w:u w:color="000000" w:themeColor="text1"/>
        </w:rPr>
        <w:t xml:space="preserve">.  </w:t>
      </w:r>
      <w:r w:rsidRPr="0042216F">
        <w:rPr>
          <w:color w:val="000000" w:themeColor="text1"/>
          <w:u w:val="single" w:color="000000" w:themeColor="text1"/>
        </w:rPr>
        <w:t>Twenty</w:t>
      </w:r>
      <w:r w:rsidR="00C90BF6">
        <w:rPr>
          <w:color w:val="000000" w:themeColor="text1"/>
          <w:u w:val="single" w:color="000000" w:themeColor="text1"/>
        </w:rPr>
        <w:noBreakHyphen/>
      </w:r>
      <w:r w:rsidRPr="0042216F">
        <w:rPr>
          <w:color w:val="000000" w:themeColor="text1"/>
          <w:u w:val="single" w:color="000000" w:themeColor="text1"/>
        </w:rPr>
        <w:t>five percent of annual tax credits must be held in a reserve account during the first three quarters of each tax year and made available exclusively to small, rural</w:t>
      </w:r>
      <w:r w:rsidR="00C90BF6">
        <w:rPr>
          <w:color w:val="000000" w:themeColor="text1"/>
          <w:u w:val="single" w:color="000000" w:themeColor="text1"/>
        </w:rPr>
        <w:noBreakHyphen/>
      </w:r>
      <w:r w:rsidRPr="0042216F">
        <w:rPr>
          <w:color w:val="000000" w:themeColor="text1"/>
          <w:u w:val="single" w:color="000000" w:themeColor="text1"/>
        </w:rPr>
        <w:t xml:space="preserve">based, community development corporations.  During the first three quarters of any tax year, an individual community development corporation or a community development financial institution must not be authorized to receive more than fifteen percent of the statewide total annual credits.  During the fourth quarter of each tax </w:t>
      </w:r>
      <w:r w:rsidRPr="0042216F">
        <w:rPr>
          <w:color w:val="000000" w:themeColor="text1"/>
          <w:u w:val="single" w:color="000000" w:themeColor="text1"/>
        </w:rPr>
        <w:lastRenderedPageBreak/>
        <w:t>year, all remaining tax credits are available to all certified community development corporations or community development financial institutions.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(D)</w:t>
      </w:r>
      <w:r w:rsidRPr="0042216F">
        <w:rPr>
          <w:color w:val="000000" w:themeColor="text1"/>
          <w:u w:color="000000" w:themeColor="text1"/>
        </w:rPr>
        <w:tab/>
        <w:t xml:space="preserve">The department shall monitor the investments made by taxpayers in community development corporations and community development financial institutions as permitted by this section and shall perform the functions as provided in </w:t>
      </w:r>
      <w:r w:rsidRPr="0042216F">
        <w:rPr>
          <w:strike/>
          <w:color w:val="000000" w:themeColor="text1"/>
          <w:u w:color="000000" w:themeColor="text1"/>
        </w:rPr>
        <w:t>subsection</w:t>
      </w:r>
      <w:r w:rsidRPr="0042216F">
        <w:rPr>
          <w:color w:val="000000" w:themeColor="text1"/>
          <w:u w:color="000000" w:themeColor="text1"/>
        </w:rPr>
        <w:t xml:space="preserve"> </w:t>
      </w:r>
      <w:r w:rsidRPr="0042216F">
        <w:rPr>
          <w:color w:val="000000" w:themeColor="text1"/>
          <w:u w:val="single" w:color="000000" w:themeColor="text1"/>
        </w:rPr>
        <w:t>subsections</w:t>
      </w:r>
      <w:r w:rsidRPr="0042216F">
        <w:rPr>
          <w:color w:val="000000" w:themeColor="text1"/>
          <w:u w:color="000000" w:themeColor="text1"/>
        </w:rPr>
        <w:t xml:space="preserve"> (A) </w:t>
      </w:r>
      <w:r w:rsidRPr="0042216F">
        <w:rPr>
          <w:color w:val="000000" w:themeColor="text1"/>
          <w:u w:val="single" w:color="000000" w:themeColor="text1"/>
        </w:rPr>
        <w:t>and (C)</w:t>
      </w:r>
      <w:r w:rsidRPr="0042216F">
        <w:rPr>
          <w:color w:val="000000" w:themeColor="text1"/>
          <w:u w:color="000000" w:themeColor="text1"/>
        </w:rPr>
        <w:t xml:space="preserve"> </w:t>
      </w:r>
      <w:r w:rsidRPr="0042216F">
        <w:rPr>
          <w:strike/>
          <w:color w:val="000000" w:themeColor="text1"/>
          <w:u w:color="000000" w:themeColor="text1"/>
        </w:rPr>
        <w:t>above</w:t>
      </w:r>
      <w:r w:rsidRPr="0042216F">
        <w:rPr>
          <w:color w:val="000000" w:themeColor="text1"/>
          <w:u w:color="000000" w:themeColor="text1"/>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2216F">
        <w:t>If the amount of the credit determined, pursuant to subsection (A), exceeds the taxpayer</w:t>
      </w:r>
      <w:r w:rsidR="00C90BF6" w:rsidRPr="00C90BF6">
        <w:t>’</w:t>
      </w:r>
      <w:r w:rsidRPr="0042216F">
        <w:t>s state tax liability for the applicable taxable year, the taxpayer may carry over the excess to the immediately succeeding taxable years. However, the credit carry</w:t>
      </w:r>
      <w:r w:rsidR="00C90BF6">
        <w:noBreakHyphen/>
      </w:r>
      <w:r w:rsidRPr="0042216F">
        <w:t xml:space="preserve">over may not be used for a taxable year that begins on or after </w:t>
      </w:r>
      <w:r w:rsidRPr="0042216F">
        <w:rPr>
          <w:strike/>
        </w:rPr>
        <w:t>ten</w:t>
      </w:r>
      <w:r w:rsidRPr="0042216F">
        <w:t xml:space="preserve"> </w:t>
      </w:r>
      <w:r>
        <w:rPr>
          <w:u w:val="single"/>
        </w:rPr>
        <w:t>three</w:t>
      </w:r>
      <w:r>
        <w:t xml:space="preserve"> </w:t>
      </w:r>
      <w:r w:rsidRPr="0042216F">
        <w:t>years from the date of the acquisition of stock or other equity interest that is the basis for a credit pursuant to this section. The amount of the credit carry</w:t>
      </w:r>
      <w:r w:rsidR="00C90BF6">
        <w:noBreakHyphen/>
      </w:r>
      <w:r w:rsidRPr="0042216F">
        <w:t>over from a taxable year must be reduced to the extent that the carry</w:t>
      </w:r>
      <w:r w:rsidR="00C90BF6">
        <w:noBreakHyphen/>
      </w:r>
      <w:r w:rsidRPr="0042216F">
        <w:t>over is used by the taxpayer to obtain a credit provided for in this section for a later taxable year.</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(F)</w:t>
      </w:r>
      <w:r w:rsidRPr="0042216F">
        <w:rPr>
          <w:color w:val="000000" w:themeColor="text1"/>
          <w:u w:color="000000" w:themeColor="text1"/>
        </w:rPr>
        <w:tab/>
      </w:r>
      <w:r w:rsidRPr="0042216F">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sidRPr="0042216F">
        <w:rPr>
          <w:color w:val="000000" w:themeColor="text1"/>
          <w:u w:color="000000" w:themeColor="text1"/>
        </w:rPr>
        <w:t xml:space="preserve"> </w:t>
      </w:r>
      <w:r w:rsidRPr="0042216F">
        <w:rPr>
          <w:color w:val="000000" w:themeColor="text1"/>
          <w:u w:val="single" w:color="000000" w:themeColor="text1"/>
        </w:rPr>
        <w:t>The department must not authorize any tax credits after the annual aggregate limitation set forth in subsection (B) has been reached</w:t>
      </w:r>
      <w:r w:rsidRPr="0042216F">
        <w:rPr>
          <w:color w:val="000000" w:themeColor="text1"/>
          <w:u w:color="000000" w:themeColor="text1"/>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(L)</w:t>
      </w:r>
      <w:r w:rsidRPr="0042216F">
        <w:rPr>
          <w:color w:val="000000" w:themeColor="text1"/>
          <w:u w:color="000000" w:themeColor="text1"/>
        </w:rPr>
        <w:tab/>
        <w:t xml:space="preserve">Banks and financial institutions </w:t>
      </w:r>
      <w:r w:rsidRPr="0042216F">
        <w:rPr>
          <w:strike/>
          <w:color w:val="000000" w:themeColor="text1"/>
          <w:u w:color="000000" w:themeColor="text1"/>
        </w:rPr>
        <w:t>chartered by the</w:t>
      </w:r>
      <w:r w:rsidRPr="0042216F">
        <w:rPr>
          <w:color w:val="000000" w:themeColor="text1"/>
          <w:u w:color="000000" w:themeColor="text1"/>
        </w:rPr>
        <w:t xml:space="preserve"> </w:t>
      </w:r>
      <w:r w:rsidRPr="0042216F">
        <w:rPr>
          <w:color w:val="000000" w:themeColor="text1"/>
          <w:u w:val="single" w:color="000000" w:themeColor="text1"/>
        </w:rPr>
        <w:t>with tax liabilities in this</w:t>
      </w:r>
      <w:r w:rsidRPr="0042216F">
        <w:rPr>
          <w:color w:val="000000" w:themeColor="text1"/>
          <w:u w:color="000000" w:themeColor="text1"/>
        </w:rPr>
        <w:t xml:space="preserve"> State </w:t>
      </w:r>
      <w:r w:rsidRPr="0042216F">
        <w:rPr>
          <w:strike/>
          <w:color w:val="000000" w:themeColor="text1"/>
          <w:u w:color="000000" w:themeColor="text1"/>
        </w:rPr>
        <w:t>of South Carolina</w:t>
      </w:r>
      <w:r w:rsidRPr="0042216F">
        <w:rPr>
          <w:color w:val="000000" w:themeColor="text1"/>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w:t>
      </w:r>
      <w:r w:rsidR="00C90BF6" w:rsidRPr="00C90BF6">
        <w:rPr>
          <w:color w:val="000000" w:themeColor="text1"/>
          <w:u w:color="000000" w:themeColor="text1"/>
        </w:rPr>
        <w:t>’</w:t>
      </w:r>
      <w:r w:rsidRPr="0042216F">
        <w:rPr>
          <w:color w:val="000000" w:themeColor="text1"/>
          <w:u w:color="000000" w:themeColor="text1"/>
        </w:rPr>
        <w:t>s total capital and surplus.”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16F">
        <w:rPr>
          <w:color w:val="000000" w:themeColor="text1"/>
          <w:u w:color="000000" w:themeColor="text1"/>
        </w:rPr>
        <w:lastRenderedPageBreak/>
        <w:t>SECTION</w:t>
      </w:r>
      <w:r w:rsidRPr="0042216F">
        <w:rPr>
          <w:color w:val="000000" w:themeColor="text1"/>
          <w:u w:color="000000" w:themeColor="text1"/>
        </w:rPr>
        <w:tab/>
        <w:t>2.</w:t>
      </w:r>
      <w:r w:rsidRPr="0042216F">
        <w:rPr>
          <w:color w:val="000000" w:themeColor="text1"/>
          <w:u w:color="000000" w:themeColor="text1"/>
        </w:rPr>
        <w:tab/>
      </w:r>
      <w:r w:rsidRPr="0042216F">
        <w:t>Section 12</w:t>
      </w:r>
      <w:r w:rsidR="00C90BF6">
        <w:noBreakHyphen/>
      </w:r>
      <w:r w:rsidRPr="0042216F">
        <w:t>6</w:t>
      </w:r>
      <w:r w:rsidR="00C90BF6">
        <w:noBreakHyphen/>
      </w:r>
      <w:r w:rsidRPr="0042216F">
        <w:t>3530 of the 1976 Code is amended by adding an appropriately lettered subsection at the end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  )</w:t>
      </w:r>
      <w:r w:rsidRPr="0042216F">
        <w:rPr>
          <w:color w:val="000000" w:themeColor="text1"/>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SECTION</w:t>
      </w:r>
      <w:r w:rsidRPr="0042216F">
        <w:rPr>
          <w:color w:val="000000" w:themeColor="text1"/>
          <w:u w:color="000000" w:themeColor="text1"/>
        </w:rPr>
        <w:tab/>
        <w:t>3.</w:t>
      </w:r>
      <w:r w:rsidRPr="0042216F">
        <w:rPr>
          <w:color w:val="000000" w:themeColor="text1"/>
          <w:u w:color="000000" w:themeColor="text1"/>
        </w:rPr>
        <w:tab/>
        <w:t>Section 4 of Act 314 of 2000, as last amended by Act 46 of 2015, is further amended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“SECTION</w:t>
      </w:r>
      <w:r w:rsidRPr="0042216F">
        <w:rPr>
          <w:color w:val="000000" w:themeColor="text1"/>
          <w:u w:color="000000" w:themeColor="text1"/>
        </w:rPr>
        <w:tab/>
        <w:t>4.</w:t>
      </w:r>
      <w:r w:rsidRPr="0042216F">
        <w:rPr>
          <w:color w:val="000000" w:themeColor="text1"/>
          <w:u w:color="000000" w:themeColor="text1"/>
        </w:rPr>
        <w:tab/>
      </w:r>
      <w:r w:rsidRPr="0042216F">
        <w:rPr>
          <w:color w:val="000000" w:themeColor="text1"/>
        </w:rPr>
        <w:t xml:space="preserve">Unless reauthorized by the General Assembly, the provisions of this act shall terminate on June 30, </w:t>
      </w:r>
      <w:r w:rsidRPr="0042216F">
        <w:rPr>
          <w:strike/>
          <w:color w:val="000000" w:themeColor="text1"/>
        </w:rPr>
        <w:t>2020</w:t>
      </w:r>
      <w:r w:rsidRPr="0042216F">
        <w:rPr>
          <w:color w:val="000000" w:themeColor="text1"/>
        </w:rPr>
        <w:t xml:space="preserve"> </w:t>
      </w:r>
      <w:r w:rsidRPr="0042216F">
        <w:rPr>
          <w:color w:val="000000" w:themeColor="text1"/>
          <w:u w:val="single"/>
        </w:rPr>
        <w:t>2023</w:t>
      </w:r>
      <w:r w:rsidRPr="004221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12C"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4.</w:t>
      </w:r>
      <w:r w:rsidRPr="0042216F">
        <w:tab/>
        <w:t xml:space="preserve">This </w:t>
      </w:r>
      <w:r>
        <w:t>act takes effect January 1, 2019</w:t>
      </w:r>
      <w:r w:rsidRPr="0042216F">
        <w:t>.</w:t>
      </w:r>
    </w:p>
    <w:p w:rsidR="00245DCD" w:rsidRDefault="00C90B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1047" w:rsidRDefault="00631047" w:rsidP="00631047">
      <w:pPr>
        <w:suppressAutoHyphens/>
      </w:pPr>
    </w:p>
    <w:sectPr w:rsidR="00631047" w:rsidSect="006310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12C" w:rsidRDefault="0006712C" w:rsidP="009F0C77">
      <w:r>
        <w:separator/>
      </w:r>
    </w:p>
  </w:endnote>
  <w:endnote w:type="continuationSeparator" w:id="0">
    <w:p w:rsidR="0006712C" w:rsidRDefault="000671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34FC75-6BC6-4C8B-BCC7-70A5407E1F06}"/>
    <w:embedBold r:id="rId2" w:fontKey="{0F69CD03-51C9-4497-90CE-4009C103CDAB}"/>
  </w:font>
  <w:font w:name="Calibri">
    <w:panose1 w:val="020F0502020204030204"/>
    <w:charset w:val="00"/>
    <w:family w:val="swiss"/>
    <w:pitch w:val="variable"/>
    <w:sig w:usb0="E00002FF" w:usb1="4000ACFF" w:usb2="00000001" w:usb3="00000000" w:csb0="0000019F" w:csb1="00000000"/>
    <w:embedRegular r:id="rId3" w:fontKey="{FF61A05C-5D86-4B75-B46F-6B89ED8D5CF1}"/>
  </w:font>
  <w:font w:name="Segoe UI">
    <w:panose1 w:val="020B0502040204020203"/>
    <w:charset w:val="00"/>
    <w:family w:val="swiss"/>
    <w:pitch w:val="variable"/>
    <w:sig w:usb0="E10022FF" w:usb1="C000E47F" w:usb2="00000029" w:usb3="00000000" w:csb0="000001DF" w:csb1="00000000"/>
    <w:embedRegular r:id="rId4" w:fontKey="{755C7FE2-90F3-4DC9-9624-552528A23B96}"/>
  </w:font>
  <w:font w:name="Cambria">
    <w:panose1 w:val="02040503050406030204"/>
    <w:charset w:val="00"/>
    <w:family w:val="roman"/>
    <w:pitch w:val="variable"/>
    <w:sig w:usb0="E00002FF" w:usb1="400004FF" w:usb2="00000000" w:usb3="00000000" w:csb0="0000019F" w:csb1="00000000"/>
    <w:embedRegular r:id="rId5" w:fontKey="{541B267E-918C-45DB-8AB8-4370D0B10A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DCD" w:rsidRPr="00631047" w:rsidRDefault="00631047" w:rsidP="00631047">
    <w:pPr>
      <w:pStyle w:val="Footer"/>
      <w:tabs>
        <w:tab w:val="clear" w:pos="4680"/>
        <w:tab w:val="clear" w:pos="9360"/>
        <w:tab w:val="center" w:pos="2995"/>
      </w:tabs>
      <w:spacing w:before="120"/>
    </w:pPr>
    <w:r>
      <w:t>[4133]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12C" w:rsidRDefault="0006712C" w:rsidP="009F0C77">
      <w:r>
        <w:separator/>
      </w:r>
    </w:p>
  </w:footnote>
  <w:footnote w:type="continuationSeparator" w:id="0">
    <w:p w:rsidR="0006712C" w:rsidRDefault="000671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5DG19"/>
    <w:docVar w:name="CoverBillType" w:val="b"/>
    <w:docVar w:name="DocPath" w:val="L:\Council\bills\NBD\11245DG19.DOCX"/>
    <w:docVar w:name="dvBillNumber" w:val="4133"/>
    <w:docVar w:name="dvBillNumberPrefix" w:val="H. "/>
    <w:docVar w:name="dvOriginalBody" w:val="House"/>
    <w:docVar w:name="dvSteno" w:val="NBD"/>
    <w:docVar w:name="NameofBody" w:val="h"/>
    <w:docVar w:name="vGroup2" w:val="Council"/>
  </w:docVars>
  <w:rsids>
    <w:rsidRoot w:val="0006712C"/>
    <w:rsid w:val="00011869"/>
    <w:rsid w:val="00015CD6"/>
    <w:rsid w:val="0006712C"/>
    <w:rsid w:val="000746C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5DCD"/>
    <w:rsid w:val="00250967"/>
    <w:rsid w:val="002543C8"/>
    <w:rsid w:val="0025541D"/>
    <w:rsid w:val="00284AAE"/>
    <w:rsid w:val="002E5912"/>
    <w:rsid w:val="00301B21"/>
    <w:rsid w:val="00325348"/>
    <w:rsid w:val="0032732C"/>
    <w:rsid w:val="00336AD0"/>
    <w:rsid w:val="0037079A"/>
    <w:rsid w:val="003A192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E68"/>
    <w:rsid w:val="005C2FE2"/>
    <w:rsid w:val="005E2BC9"/>
    <w:rsid w:val="00605102"/>
    <w:rsid w:val="006215AA"/>
    <w:rsid w:val="00631047"/>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0BF6"/>
    <w:rsid w:val="00C92819"/>
    <w:rsid w:val="00CC6B7B"/>
    <w:rsid w:val="00CD2089"/>
    <w:rsid w:val="00D13AE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C63B7-3D7F-44B5-9E9F-05808FDF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0B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B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10EED-1D15-46C8-BAEF-167A16B2E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4</Pages>
  <Words>1154</Words>
  <Characters>6208</Characters>
  <Application>Microsoft Office Word</Application>
  <DocSecurity>0</DocSecurity>
  <Lines>149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4133 Text of Previous Version (Feb. 27, 2019) - South Carolina Legislature Online</dc:title>
  <dc:creator>Niki Downey</dc:creator>
  <cp:lastModifiedBy>S Volk</cp:lastModifiedBy>
  <cp:revision>2</cp:revision>
  <cp:lastPrinted>2019-02-25T15:32:00Z</cp:lastPrinted>
  <dcterms:created xsi:type="dcterms:W3CDTF">2019-02-27T18:47:00Z</dcterms:created>
  <dcterms:modified xsi:type="dcterms:W3CDTF">2019-02-27T18:47:00Z</dcterms:modified>
</cp:coreProperties>
</file>