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B3CFE" w14:textId="0F341719" w:rsidR="005F5CDB" w:rsidRDefault="005F5CDB" w:rsidP="005F5CDB">
      <w:pPr>
        <w:widowControl w:val="0"/>
        <w:jc w:val="center"/>
      </w:pPr>
      <w:r w:rsidRPr="005F5CDB">
        <w:rPr>
          <w:b/>
        </w:rPr>
        <w:t>South Carolina General Assembly</w:t>
      </w:r>
    </w:p>
    <w:p w14:paraId="5C66DC2B" w14:textId="70A22DD4" w:rsidR="005F5CDB" w:rsidRDefault="005F5CDB" w:rsidP="005F5CDB">
      <w:pPr>
        <w:widowControl w:val="0"/>
        <w:jc w:val="center"/>
      </w:pPr>
      <w:r>
        <w:t>124th Session, 2021-2022</w:t>
      </w:r>
    </w:p>
    <w:p w14:paraId="18C50EEF" w14:textId="5ADAB679" w:rsidR="005F5CDB" w:rsidRDefault="005F5CDB" w:rsidP="005F5CDB">
      <w:pPr>
        <w:widowControl w:val="0"/>
      </w:pPr>
    </w:p>
    <w:p w14:paraId="13971D05" w14:textId="7505E3D7" w:rsidR="005F5CDB" w:rsidRDefault="005F5CDB" w:rsidP="005F5CDB">
      <w:pPr>
        <w:widowControl w:val="0"/>
        <w:rPr>
          <w:b/>
        </w:rPr>
      </w:pPr>
      <w:r w:rsidRPr="005F5CDB">
        <w:rPr>
          <w:b/>
        </w:rPr>
        <w:t>S.</w:t>
      </w:r>
      <w:r>
        <w:rPr>
          <w:b/>
        </w:rPr>
        <w:t xml:space="preserve"> </w:t>
      </w:r>
      <w:r w:rsidRPr="005F5CDB">
        <w:rPr>
          <w:b/>
        </w:rPr>
        <w:t>1199</w:t>
      </w:r>
    </w:p>
    <w:p w14:paraId="7E0293CE" w14:textId="43ED4AD5" w:rsidR="005F5CDB" w:rsidRDefault="005F5CDB" w:rsidP="005F5CDB">
      <w:pPr>
        <w:widowControl w:val="0"/>
        <w:rPr>
          <w:b/>
        </w:rPr>
      </w:pPr>
    </w:p>
    <w:p w14:paraId="015CB71B" w14:textId="7C1FE0A9" w:rsidR="005F5CDB" w:rsidRDefault="005F5CDB" w:rsidP="005F5CDB">
      <w:pPr>
        <w:widowControl w:val="0"/>
      </w:pPr>
      <w:r w:rsidRPr="005F5CDB">
        <w:rPr>
          <w:b/>
        </w:rPr>
        <w:t>STATUS INFORMATION</w:t>
      </w:r>
    </w:p>
    <w:p w14:paraId="6DFAB624" w14:textId="462A81EF" w:rsidR="005F5CDB" w:rsidRDefault="005F5CDB" w:rsidP="005F5CDB">
      <w:pPr>
        <w:widowControl w:val="0"/>
      </w:pPr>
    </w:p>
    <w:p w14:paraId="67C7753B" w14:textId="32D2D240" w:rsidR="005F5CDB" w:rsidRDefault="005F5CDB" w:rsidP="005F5CDB">
      <w:pPr>
        <w:widowControl w:val="0"/>
      </w:pPr>
      <w:r>
        <w:t>General Bill</w:t>
      </w:r>
    </w:p>
    <w:p w14:paraId="5CD8A00A" w14:textId="19EAC1DA" w:rsidR="005F5CDB" w:rsidRDefault="005F5CDB" w:rsidP="005F5CDB">
      <w:pPr>
        <w:widowControl w:val="0"/>
      </w:pPr>
      <w:r>
        <w:t>Sponsors: Senator Turner</w:t>
      </w:r>
    </w:p>
    <w:p w14:paraId="5E1B9944" w14:textId="3AD8C60E" w:rsidR="005F5CDB" w:rsidRDefault="005F5CDB" w:rsidP="005F5CDB">
      <w:pPr>
        <w:widowControl w:val="0"/>
      </w:pPr>
      <w:r>
        <w:t>Document Path: l:\s-res\rt\009thir.kmm.rt.docx</w:t>
      </w:r>
    </w:p>
    <w:p w14:paraId="2932C8E0" w14:textId="1C50FF49" w:rsidR="005F5CDB" w:rsidRDefault="005F5CDB" w:rsidP="005F5CDB">
      <w:pPr>
        <w:widowControl w:val="0"/>
      </w:pPr>
    </w:p>
    <w:p w14:paraId="37CF3DBD" w14:textId="77777777" w:rsidR="005F5CDB" w:rsidRDefault="005F5CDB" w:rsidP="005F5CDB">
      <w:pPr>
        <w:widowControl w:val="0"/>
      </w:pPr>
      <w:r>
        <w:t>Introduced in the Senate on March 24, 2022</w:t>
      </w:r>
    </w:p>
    <w:p w14:paraId="6AA79DCF" w14:textId="2BD67BCB" w:rsidR="005F5CDB" w:rsidRDefault="005F5CDB" w:rsidP="005F5CDB">
      <w:pPr>
        <w:widowControl w:val="0"/>
      </w:pPr>
      <w:r>
        <w:t xml:space="preserve">Currently residing in the Senate Committee on </w:t>
      </w:r>
      <w:r w:rsidRPr="005F5CDB">
        <w:rPr>
          <w:b/>
        </w:rPr>
        <w:t>Labor, Commerce and Industry</w:t>
      </w:r>
    </w:p>
    <w:p w14:paraId="5E57E812" w14:textId="6D6EE5C2" w:rsidR="005F5CDB" w:rsidRDefault="005F5CDB" w:rsidP="005F5CDB">
      <w:pPr>
        <w:widowControl w:val="0"/>
      </w:pPr>
    </w:p>
    <w:p w14:paraId="527140E8" w14:textId="1D729AC9" w:rsidR="005F5CDB" w:rsidRDefault="008A7BC0" w:rsidP="005F5CDB">
      <w:pPr>
        <w:widowControl w:val="0"/>
      </w:pPr>
      <w:r>
        <w:t>Summary: Online Marketplace Consumer Protection Act</w:t>
      </w:r>
    </w:p>
    <w:p w14:paraId="4232BA47" w14:textId="2F211182" w:rsidR="005F5CDB" w:rsidRDefault="005F5CDB" w:rsidP="005F5CDB">
      <w:pPr>
        <w:widowControl w:val="0"/>
      </w:pPr>
    </w:p>
    <w:p w14:paraId="22A9684B" w14:textId="5812C456" w:rsidR="005F5CDB" w:rsidRDefault="005F5CDB" w:rsidP="005F5CDB">
      <w:pPr>
        <w:widowControl w:val="0"/>
      </w:pPr>
    </w:p>
    <w:p w14:paraId="6302EED5" w14:textId="03016DC8" w:rsidR="005F5CDB" w:rsidRDefault="005F5CDB" w:rsidP="005F5CDB">
      <w:pPr>
        <w:widowControl w:val="0"/>
        <w:tabs>
          <w:tab w:val="center" w:pos="590"/>
          <w:tab w:val="center" w:pos="1440"/>
          <w:tab w:val="left" w:pos="1872"/>
          <w:tab w:val="left" w:pos="9187"/>
        </w:tabs>
      </w:pPr>
      <w:r w:rsidRPr="005F5CDB">
        <w:rPr>
          <w:b/>
        </w:rPr>
        <w:t>HISTORY OF LEGISLATIVE ACTIONS</w:t>
      </w:r>
    </w:p>
    <w:p w14:paraId="68DD328C" w14:textId="08E91B1A" w:rsidR="005F5CDB" w:rsidRDefault="005F5CDB" w:rsidP="005F5CDB">
      <w:pPr>
        <w:widowControl w:val="0"/>
        <w:tabs>
          <w:tab w:val="center" w:pos="590"/>
          <w:tab w:val="center" w:pos="1440"/>
          <w:tab w:val="left" w:pos="1872"/>
          <w:tab w:val="left" w:pos="9187"/>
        </w:tabs>
      </w:pPr>
    </w:p>
    <w:p w14:paraId="71C170AF" w14:textId="250CEB47" w:rsidR="005F5CDB" w:rsidRPr="005F5CDB" w:rsidRDefault="005F5CDB" w:rsidP="005F5CDB">
      <w:pPr>
        <w:widowControl w:val="0"/>
        <w:tabs>
          <w:tab w:val="center" w:pos="590"/>
          <w:tab w:val="center" w:pos="1440"/>
          <w:tab w:val="left" w:pos="1872"/>
          <w:tab w:val="left" w:pos="9187"/>
        </w:tabs>
      </w:pPr>
      <w:r w:rsidRPr="005F5CDB">
        <w:rPr>
          <w:u w:val="single"/>
        </w:rPr>
        <w:tab/>
        <w:t>Date</w:t>
      </w:r>
      <w:r w:rsidRPr="005F5CDB">
        <w:rPr>
          <w:u w:val="single"/>
        </w:rPr>
        <w:tab/>
        <w:t>Body</w:t>
      </w:r>
      <w:r w:rsidRPr="005F5CDB">
        <w:rPr>
          <w:u w:val="single"/>
        </w:rPr>
        <w:tab/>
        <w:t>Action Description with journal page number</w:t>
      </w:r>
      <w:r w:rsidRPr="005F5CDB">
        <w:rPr>
          <w:u w:val="single"/>
        </w:rPr>
        <w:tab/>
      </w:r>
    </w:p>
    <w:p w14:paraId="59C76D72" w14:textId="77777777" w:rsidR="00015ED2" w:rsidRDefault="00015ED2" w:rsidP="00015ED2">
      <w:pPr>
        <w:widowControl w:val="0"/>
        <w:tabs>
          <w:tab w:val="right" w:pos="1008"/>
          <w:tab w:val="left" w:pos="1152"/>
          <w:tab w:val="left" w:pos="1872"/>
          <w:tab w:val="left" w:pos="9187"/>
        </w:tabs>
        <w:ind w:left="2088" w:hanging="2088"/>
      </w:pPr>
      <w:r>
        <w:tab/>
        <w:t>3/24/2022</w:t>
      </w:r>
      <w:r>
        <w:tab/>
        <w:t>Senate</w:t>
      </w:r>
      <w:r>
        <w:tab/>
        <w:t>Introduced and read first time (</w:t>
      </w:r>
      <w:hyperlink r:id="rId6" w:history="1">
        <w:r w:rsidRPr="009E1BBC">
          <w:rPr>
            <w:rStyle w:val="Hyperlink"/>
          </w:rPr>
          <w:t>Senate Journal</w:t>
        </w:r>
        <w:r w:rsidRPr="009E1BBC">
          <w:rPr>
            <w:rStyle w:val="Hyperlink"/>
          </w:rPr>
          <w:noBreakHyphen/>
          <w:t>page 3</w:t>
        </w:r>
      </w:hyperlink>
      <w:r>
        <w:t>)</w:t>
      </w:r>
    </w:p>
    <w:p w14:paraId="52BE97D6" w14:textId="77777777" w:rsidR="00015ED2" w:rsidRDefault="00015ED2" w:rsidP="00015ED2">
      <w:pPr>
        <w:widowControl w:val="0"/>
        <w:tabs>
          <w:tab w:val="right" w:pos="1008"/>
          <w:tab w:val="left" w:pos="1152"/>
          <w:tab w:val="left" w:pos="1872"/>
          <w:tab w:val="left" w:pos="9187"/>
        </w:tabs>
        <w:ind w:left="2088" w:hanging="2088"/>
      </w:pPr>
      <w:r>
        <w:tab/>
        <w:t>3/24/2022</w:t>
      </w:r>
      <w:r>
        <w:tab/>
        <w:t>Senate</w:t>
      </w:r>
      <w:r>
        <w:tab/>
        <w:t xml:space="preserve">Referred to Committee on </w:t>
      </w:r>
      <w:r w:rsidRPr="009E1BBC">
        <w:rPr>
          <w:b/>
        </w:rPr>
        <w:t>Labor, Commerce and Industry</w:t>
      </w:r>
      <w:r>
        <w:t xml:space="preserve"> (</w:t>
      </w:r>
      <w:hyperlink r:id="rId7" w:history="1">
        <w:r w:rsidRPr="009E1BBC">
          <w:rPr>
            <w:rStyle w:val="Hyperlink"/>
          </w:rPr>
          <w:t>Senate Journal</w:t>
        </w:r>
        <w:r w:rsidRPr="009E1BBC">
          <w:rPr>
            <w:rStyle w:val="Hyperlink"/>
          </w:rPr>
          <w:noBreakHyphen/>
          <w:t>page 3</w:t>
        </w:r>
      </w:hyperlink>
      <w:r>
        <w:t>)</w:t>
      </w:r>
    </w:p>
    <w:p w14:paraId="74D3DC62" w14:textId="77777777" w:rsidR="00015ED2" w:rsidRDefault="00015ED2" w:rsidP="00015ED2">
      <w:pPr>
        <w:widowControl w:val="0"/>
        <w:tabs>
          <w:tab w:val="right" w:pos="1008"/>
          <w:tab w:val="left" w:pos="1152"/>
          <w:tab w:val="left" w:pos="1872"/>
          <w:tab w:val="left" w:pos="9187"/>
        </w:tabs>
        <w:ind w:left="2088" w:hanging="2088"/>
      </w:pPr>
    </w:p>
    <w:p w14:paraId="1A8AEEA5" w14:textId="72013580" w:rsidR="005F5CDB" w:rsidRDefault="005F5CDB" w:rsidP="005F5CDB">
      <w:pPr>
        <w:widowControl w:val="0"/>
        <w:tabs>
          <w:tab w:val="right" w:pos="1008"/>
          <w:tab w:val="left" w:pos="1152"/>
          <w:tab w:val="left" w:pos="1872"/>
          <w:tab w:val="left" w:pos="9187"/>
        </w:tabs>
        <w:ind w:left="2088" w:hanging="2088"/>
      </w:pPr>
      <w:r>
        <w:t xml:space="preserve">View the latest </w:t>
      </w:r>
      <w:hyperlink r:id="rId8" w:history="1">
        <w:r w:rsidRPr="005F5CDB">
          <w:rPr>
            <w:rStyle w:val="Hyperlink"/>
          </w:rPr>
          <w:t>legislative information</w:t>
        </w:r>
      </w:hyperlink>
      <w:r>
        <w:t xml:space="preserve"> at the website</w:t>
      </w:r>
    </w:p>
    <w:p w14:paraId="336E71BA" w14:textId="2F0DBAB9" w:rsidR="005F5CDB" w:rsidRDefault="005F5CDB" w:rsidP="005F5CDB">
      <w:pPr>
        <w:widowControl w:val="0"/>
        <w:tabs>
          <w:tab w:val="right" w:pos="1008"/>
          <w:tab w:val="left" w:pos="1152"/>
          <w:tab w:val="left" w:pos="1872"/>
          <w:tab w:val="left" w:pos="9187"/>
        </w:tabs>
        <w:ind w:left="2088" w:hanging="2088"/>
      </w:pPr>
    </w:p>
    <w:p w14:paraId="3CC10FFE" w14:textId="77777777" w:rsidR="005F5CDB" w:rsidRPr="005F5CDB" w:rsidRDefault="005F5CDB" w:rsidP="005F5CDB">
      <w:pPr>
        <w:widowControl w:val="0"/>
        <w:tabs>
          <w:tab w:val="right" w:pos="1008"/>
          <w:tab w:val="left" w:pos="1152"/>
          <w:tab w:val="left" w:pos="1872"/>
          <w:tab w:val="left" w:pos="9187"/>
        </w:tabs>
        <w:ind w:left="2088" w:hanging="2088"/>
      </w:pPr>
    </w:p>
    <w:p w14:paraId="1DBB0C60" w14:textId="767E4404" w:rsidR="005F5CDB" w:rsidRDefault="005F5CDB" w:rsidP="005F5CDB">
      <w:pPr>
        <w:widowControl w:val="0"/>
      </w:pPr>
      <w:r w:rsidRPr="005F5CDB">
        <w:rPr>
          <w:b/>
        </w:rPr>
        <w:t>VERSIONS OF THIS BILL</w:t>
      </w:r>
    </w:p>
    <w:p w14:paraId="65044BDB" w14:textId="70DEFAE1" w:rsidR="005F5CDB" w:rsidRDefault="005F5CDB" w:rsidP="005F5CDB">
      <w:pPr>
        <w:widowControl w:val="0"/>
      </w:pPr>
    </w:p>
    <w:p w14:paraId="354B8047" w14:textId="294D3D76" w:rsidR="005F5CDB" w:rsidRDefault="00850008" w:rsidP="005F5CDB">
      <w:pPr>
        <w:widowControl w:val="0"/>
      </w:pPr>
      <w:hyperlink r:id="rId9" w:history="1">
        <w:r w:rsidR="005F5CDB">
          <w:rPr>
            <w:rStyle w:val="Hyperlink"/>
          </w:rPr>
          <w:t>3/24/2022</w:t>
        </w:r>
      </w:hyperlink>
    </w:p>
    <w:p w14:paraId="0F1D7032" w14:textId="757D4991" w:rsidR="005F5CDB" w:rsidRDefault="005F5CDB" w:rsidP="005F5CDB"/>
    <w:p w14:paraId="627C4340" w14:textId="77777777" w:rsidR="005F5CDB" w:rsidRDefault="005F5CDB" w:rsidP="005F5CDB">
      <w:pPr>
        <w:sectPr w:rsidR="005F5CDB" w:rsidSect="005F5CDB">
          <w:pgSz w:w="12240" w:h="15840" w:code="1"/>
          <w:pgMar w:top="1080" w:right="1440" w:bottom="1080" w:left="1440" w:header="720" w:footer="720" w:gutter="0"/>
          <w:cols w:space="720"/>
          <w:noEndnote/>
          <w:docGrid w:linePitch="360"/>
        </w:sectPr>
      </w:pPr>
    </w:p>
    <w:p w14:paraId="55AE50FA" w14:textId="7E20C514" w:rsidR="00EB65DB" w:rsidRPr="00522CE0" w:rsidRDefault="00EB6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03D8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9D9D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BB99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000C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E147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7C7D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ED3D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63A655" w14:textId="77777777" w:rsidR="00522CE0" w:rsidRPr="008F023B" w:rsidRDefault="00522CE0" w:rsidP="00EB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E44DA">
        <w:rPr>
          <w:rFonts w:eastAsia="Times New Roman"/>
          <w:b/>
          <w:sz w:val="30"/>
          <w:szCs w:val="30"/>
        </w:rPr>
        <w:t>BILL</w:t>
      </w:r>
    </w:p>
    <w:p w14:paraId="60F0E33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49BB1B" w14:textId="03BB4808" w:rsidR="00FE4FF8" w:rsidRPr="00FE4FF8" w:rsidRDefault="00E478DA"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2" w:name="titletop"/>
      <w:bookmarkEnd w:id="2"/>
      <w:r w:rsidRPr="00FE4FF8">
        <w:rPr>
          <w:rFonts w:eastAsia="Times New Roman"/>
          <w:color w:val="000000" w:themeColor="text1"/>
          <w:szCs w:val="20"/>
          <w:u w:color="000000" w:themeColor="text1"/>
        </w:rPr>
        <w:t xml:space="preserve">TO AMEND </w:t>
      </w:r>
      <w:r>
        <w:rPr>
          <w:rFonts w:eastAsia="Times New Roman"/>
          <w:color w:val="000000" w:themeColor="text1"/>
          <w:szCs w:val="20"/>
          <w:u w:color="000000" w:themeColor="text1"/>
        </w:rPr>
        <w:t xml:space="preserve">CHAPTER 39, TITLE 40 OF THE 1976 CODE, RELATING TO PAWNBROKERS, </w:t>
      </w:r>
      <w:r w:rsidRPr="00FE4FF8">
        <w:rPr>
          <w:rFonts w:eastAsia="Times New Roman"/>
          <w:color w:val="000000" w:themeColor="text1"/>
          <w:szCs w:val="20"/>
          <w:u w:color="000000" w:themeColor="text1"/>
        </w:rPr>
        <w:t xml:space="preserve">BY ADDING </w:t>
      </w:r>
      <w:r>
        <w:rPr>
          <w:rFonts w:eastAsia="Times New Roman"/>
          <w:color w:val="000000" w:themeColor="text1"/>
          <w:szCs w:val="20"/>
          <w:u w:color="000000" w:themeColor="text1"/>
        </w:rPr>
        <w:t>ARTICLE 3</w:t>
      </w:r>
      <w:r w:rsidRPr="00FE4FF8">
        <w:rPr>
          <w:rFonts w:eastAsia="Times New Roman"/>
          <w:color w:val="000000" w:themeColor="text1"/>
          <w:szCs w:val="20"/>
          <w:u w:color="000000" w:themeColor="text1"/>
        </w:rPr>
        <w:t xml:space="preserve"> ENTITLED THE “ONLINE MARKETPLACE CONSUMER PROTECTION ACT” SO AS TO ESTABLISH THE DUTIES OF ONLINE MARKETPLACES WITH REGARDS TO THE COLLECTION, VERIFICATION, AND DISCLOSURE OF CERTAIN INFORMATION REGARDING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SELLERS, AND TO PROVIDE FOR EXCLUSIVE ENFORCEMENT BY THE ATTORNEY GENERAL.</w:t>
      </w:r>
    </w:p>
    <w:p w14:paraId="6B9BB387"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end"/>
      <w:bookmarkEnd w:id="3"/>
    </w:p>
    <w:p w14:paraId="4F432F23"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FE4FF8">
        <w:rPr>
          <w:rFonts w:eastAsia="Times New Roman"/>
          <w:szCs w:val="20"/>
        </w:rPr>
        <w:t>Be it enacted by the General Assembly of the State of South Carolina:</w:t>
      </w:r>
    </w:p>
    <w:p w14:paraId="5F743D89"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14:paraId="09699939"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SECTION</w:t>
      </w:r>
      <w:r w:rsidRPr="00FE4FF8">
        <w:rPr>
          <w:rFonts w:eastAsia="Times New Roman"/>
          <w:color w:val="000000" w:themeColor="text1"/>
          <w:szCs w:val="20"/>
          <w:u w:color="000000" w:themeColor="text1"/>
        </w:rPr>
        <w:tab/>
        <w:t>1.</w:t>
      </w:r>
      <w:r w:rsidRPr="00FE4FF8">
        <w:rPr>
          <w:rFonts w:eastAsia="Times New Roman"/>
          <w:color w:val="000000" w:themeColor="text1"/>
          <w:szCs w:val="20"/>
          <w:u w:color="000000" w:themeColor="text1"/>
        </w:rPr>
        <w:tab/>
      </w:r>
      <w:r>
        <w:rPr>
          <w:rFonts w:eastAsia="Times New Roman"/>
          <w:color w:val="000000" w:themeColor="text1"/>
          <w:szCs w:val="20"/>
          <w:u w:color="000000" w:themeColor="text1"/>
        </w:rPr>
        <w:t>Chapter 39, Title 40</w:t>
      </w:r>
      <w:r w:rsidRPr="00FE4FF8">
        <w:rPr>
          <w:rFonts w:eastAsia="Times New Roman"/>
          <w:color w:val="000000" w:themeColor="text1"/>
          <w:szCs w:val="20"/>
          <w:u w:color="000000" w:themeColor="text1"/>
        </w:rPr>
        <w:t xml:space="preserve"> of the 1976 Code is amended by adding:</w:t>
      </w:r>
    </w:p>
    <w:p w14:paraId="3327DB20"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B0E360A"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FE4FF8">
        <w:rPr>
          <w:rFonts w:eastAsia="Times New Roman"/>
          <w:color w:val="000000" w:themeColor="text1"/>
          <w:szCs w:val="20"/>
          <w:u w:color="000000" w:themeColor="text1"/>
        </w:rPr>
        <w:t>“</w:t>
      </w:r>
      <w:r>
        <w:rPr>
          <w:rFonts w:eastAsia="Times New Roman"/>
          <w:color w:val="000000" w:themeColor="text1"/>
          <w:szCs w:val="20"/>
          <w:u w:color="000000" w:themeColor="text1"/>
        </w:rPr>
        <w:t>Article</w:t>
      </w:r>
      <w:r w:rsidRPr="00FE4FF8">
        <w:rPr>
          <w:rFonts w:eastAsia="Times New Roman"/>
          <w:color w:val="000000" w:themeColor="text1"/>
          <w:szCs w:val="20"/>
          <w:u w:color="000000" w:themeColor="text1"/>
        </w:rPr>
        <w:t xml:space="preserve"> 3</w:t>
      </w:r>
    </w:p>
    <w:p w14:paraId="0B3BE831"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14:paraId="14474904"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FE4FF8">
        <w:rPr>
          <w:rFonts w:eastAsia="Times New Roman"/>
          <w:color w:val="000000" w:themeColor="text1"/>
          <w:szCs w:val="20"/>
          <w:u w:color="000000" w:themeColor="text1"/>
        </w:rPr>
        <w:t>Online Marketplace Consumer Protection Act</w:t>
      </w:r>
    </w:p>
    <w:p w14:paraId="0DC8CE30"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14:paraId="6B9AAF99" w14:textId="71B3E082"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 xml:space="preserve">Section </w:t>
      </w:r>
      <w:r>
        <w:rPr>
          <w:rFonts w:eastAsia="Times New Roman"/>
          <w:color w:val="000000" w:themeColor="text1"/>
          <w:szCs w:val="20"/>
          <w:u w:color="000000" w:themeColor="text1"/>
        </w:rPr>
        <w:t>40</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3</w:t>
      </w:r>
      <w:r>
        <w:rPr>
          <w:rFonts w:eastAsia="Times New Roman"/>
          <w:color w:val="000000" w:themeColor="text1"/>
          <w:szCs w:val="20"/>
          <w:u w:color="000000" w:themeColor="text1"/>
        </w:rPr>
        <w:t>9</w:t>
      </w:r>
      <w:r w:rsidR="00985ED2">
        <w:rPr>
          <w:rFonts w:eastAsia="Times New Roman"/>
          <w:color w:val="000000" w:themeColor="text1"/>
          <w:szCs w:val="20"/>
          <w:u w:color="000000" w:themeColor="text1"/>
        </w:rPr>
        <w:noBreakHyphen/>
      </w:r>
      <w:r>
        <w:rPr>
          <w:rFonts w:eastAsia="Times New Roman"/>
          <w:color w:val="000000" w:themeColor="text1"/>
          <w:szCs w:val="20"/>
          <w:u w:color="000000" w:themeColor="text1"/>
        </w:rPr>
        <w:t>3</w:t>
      </w:r>
      <w:r w:rsidRPr="00FE4FF8">
        <w:rPr>
          <w:rFonts w:eastAsia="Times New Roman"/>
          <w:color w:val="000000" w:themeColor="text1"/>
          <w:szCs w:val="20"/>
          <w:u w:color="000000" w:themeColor="text1"/>
        </w:rPr>
        <w:t>10.</w:t>
      </w:r>
      <w:r w:rsidRPr="00FE4FF8">
        <w:rPr>
          <w:rFonts w:eastAsia="Times New Roman"/>
          <w:color w:val="000000" w:themeColor="text1"/>
          <w:szCs w:val="20"/>
          <w:u w:color="000000" w:themeColor="text1"/>
        </w:rPr>
        <w:tab/>
        <w:t>As used in this chapter:</w:t>
      </w:r>
    </w:p>
    <w:p w14:paraId="284F6836"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(1)</w:t>
      </w:r>
      <w:r w:rsidRPr="00FE4FF8">
        <w:rPr>
          <w:rFonts w:eastAsia="Times New Roman"/>
          <w:color w:val="000000" w:themeColor="text1"/>
          <w:szCs w:val="20"/>
          <w:u w:color="000000" w:themeColor="text1"/>
        </w:rPr>
        <w:tab/>
        <w:t>‘Consumer product’ means any tangible personal property that is:</w:t>
      </w:r>
    </w:p>
    <w:p w14:paraId="095D9B30"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(a)</w:t>
      </w:r>
      <w:r w:rsidRPr="00FE4FF8">
        <w:rPr>
          <w:rFonts w:eastAsia="Times New Roman"/>
          <w:color w:val="000000" w:themeColor="text1"/>
          <w:szCs w:val="20"/>
          <w:u w:color="000000" w:themeColor="text1"/>
        </w:rPr>
        <w:tab/>
        <w:t xml:space="preserve">distributed in commerce; and </w:t>
      </w:r>
    </w:p>
    <w:p w14:paraId="6717436C"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t>normally used for personal, family, or household purposes. ‘Consumer product’ includes property intended to be attached to or installed in any real property without regard to whether it is so attached or installed.</w:t>
      </w:r>
    </w:p>
    <w:p w14:paraId="02826EEA" w14:textId="3710C790"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(2)</w:t>
      </w:r>
      <w:r w:rsidRPr="00FE4FF8">
        <w:rPr>
          <w:rFonts w:eastAsia="Times New Roman"/>
          <w:color w:val="000000" w:themeColor="text1"/>
          <w:szCs w:val="20"/>
          <w:u w:color="000000" w:themeColor="text1"/>
        </w:rPr>
        <w:tab/>
        <w:t>‘High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means a participant in an online marketplace that is a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and that, in any continuous twelve</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month period during the previous twenty</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four </w:t>
      </w:r>
      <w:r w:rsidRPr="00FE4FF8">
        <w:rPr>
          <w:rFonts w:eastAsia="Times New Roman"/>
          <w:color w:val="000000" w:themeColor="text1"/>
          <w:szCs w:val="20"/>
          <w:u w:color="000000" w:themeColor="text1"/>
        </w:rPr>
        <w:lastRenderedPageBreak/>
        <w:t xml:space="preserve">months, has entered into two hundred or more discrete sales or transactions of new or unused consumer products, with an aggregate total of five thousand dollars or more in gross revenues. For purposes of calculating the number of discrete sales or transactions or the aggregate gross revenues, an online marketplace </w:t>
      </w:r>
      <w:r w:rsidR="00346A35" w:rsidRPr="00FE4FF8">
        <w:rPr>
          <w:rFonts w:eastAsia="Times New Roman"/>
          <w:color w:val="000000" w:themeColor="text1"/>
          <w:szCs w:val="20"/>
          <w:u w:color="000000" w:themeColor="text1"/>
        </w:rPr>
        <w:t xml:space="preserve">is </w:t>
      </w:r>
      <w:r w:rsidRPr="00FE4FF8">
        <w:rPr>
          <w:rFonts w:eastAsia="Times New Roman"/>
          <w:color w:val="000000" w:themeColor="text1"/>
          <w:szCs w:val="20"/>
          <w:u w:color="000000" w:themeColor="text1"/>
        </w:rPr>
        <w:t>only required to count sales or transactions made through the online marketplace and for which payment was processed by the online marketplace, either directly or through its payment processor.</w:t>
      </w:r>
    </w:p>
    <w:p w14:paraId="60E5B0F7" w14:textId="2864FCD8"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(3)</w:t>
      </w:r>
      <w:r w:rsidRPr="00FE4FF8">
        <w:rPr>
          <w:rFonts w:eastAsia="Times New Roman"/>
          <w:color w:val="000000" w:themeColor="text1"/>
          <w:szCs w:val="20"/>
          <w:u w:color="000000" w:themeColor="text1"/>
        </w:rPr>
        <w:tab/>
        <w:t>‘Online marketplace’ means any person or entity that operates a consumer</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directed electronically based or electronically accessed platform that:</w:t>
      </w:r>
    </w:p>
    <w:p w14:paraId="66C2E925" w14:textId="79A7A251"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(a)</w:t>
      </w:r>
      <w:r w:rsidRPr="00FE4FF8">
        <w:rPr>
          <w:rFonts w:eastAsia="Times New Roman"/>
          <w:color w:val="000000" w:themeColor="text1"/>
          <w:szCs w:val="20"/>
          <w:u w:color="000000" w:themeColor="text1"/>
        </w:rPr>
        <w:tab/>
        <w:t>includes features that allow for, facilitate, or enable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sellers to engage in the sale, purchase, payment, storage, shipping, or delivery of a consumer product in the United States; </w:t>
      </w:r>
    </w:p>
    <w:p w14:paraId="5E77131F" w14:textId="53495FE4"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t>is used by one or more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sellers for such purposes; and </w:t>
      </w:r>
    </w:p>
    <w:p w14:paraId="19256E92"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(c)</w:t>
      </w:r>
      <w:r w:rsidRPr="00FE4FF8">
        <w:rPr>
          <w:rFonts w:eastAsia="Times New Roman"/>
          <w:color w:val="000000" w:themeColor="text1"/>
          <w:szCs w:val="20"/>
          <w:u w:color="000000" w:themeColor="text1"/>
        </w:rPr>
        <w:tab/>
        <w:t>has a contractual or similar relationship with consumers governing their use of the platform to purchase consumer products.</w:t>
      </w:r>
    </w:p>
    <w:p w14:paraId="4C0F9681"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(4)</w:t>
      </w:r>
      <w:r w:rsidRPr="00FE4FF8">
        <w:rPr>
          <w:rFonts w:eastAsia="Times New Roman"/>
          <w:color w:val="000000" w:themeColor="text1"/>
          <w:szCs w:val="20"/>
          <w:u w:color="000000" w:themeColor="text1"/>
        </w:rPr>
        <w:tab/>
        <w:t>‘Seller’ means a person who sells, offers to sell, or contracts to sell a consumer product through an online marketplace platform.</w:t>
      </w:r>
    </w:p>
    <w:p w14:paraId="0D0DA6F0" w14:textId="19786DCC"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(5)</w:t>
      </w:r>
      <w:r w:rsidRPr="00FE4FF8">
        <w:rPr>
          <w:rFonts w:eastAsia="Times New Roman"/>
          <w:color w:val="000000" w:themeColor="text1"/>
          <w:szCs w:val="20"/>
          <w:u w:color="000000" w:themeColor="text1"/>
        </w:rPr>
        <w:tab/>
        <w:t>‘Third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means any seller, independent of an operator, facilitator, or owner of an online marketplace, who sells, offers to sell, or contracts to sell a consumer product in the United States through an online marketplace. With respect to an online marketplace,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does not include:</w:t>
      </w:r>
    </w:p>
    <w:p w14:paraId="5FC9F105"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(a)</w:t>
      </w:r>
      <w:r w:rsidRPr="00FE4FF8">
        <w:rPr>
          <w:rFonts w:eastAsia="Times New Roman"/>
          <w:color w:val="000000" w:themeColor="text1"/>
          <w:szCs w:val="20"/>
          <w:u w:color="000000" w:themeColor="text1"/>
        </w:rPr>
        <w:tab/>
        <w:t>a seller who operates the online marketplace platform; or</w:t>
      </w:r>
    </w:p>
    <w:p w14:paraId="6130309F"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t>a business entity that has:</w:t>
      </w:r>
    </w:p>
    <w:p w14:paraId="10C61B82"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 xml:space="preserve">(i) </w:t>
      </w:r>
      <w:r w:rsidRPr="00FE4FF8">
        <w:rPr>
          <w:rFonts w:eastAsia="Times New Roman"/>
          <w:color w:val="000000" w:themeColor="text1"/>
          <w:szCs w:val="20"/>
          <w:u w:color="000000" w:themeColor="text1"/>
        </w:rPr>
        <w:tab/>
        <w:t xml:space="preserve">made available to the general public the business entity’s name, business address, and contact information; </w:t>
      </w:r>
    </w:p>
    <w:p w14:paraId="1B19F23E"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(ii)</w:t>
      </w:r>
      <w:r w:rsidRPr="00FE4FF8">
        <w:rPr>
          <w:rFonts w:eastAsia="Times New Roman"/>
          <w:color w:val="000000" w:themeColor="text1"/>
          <w:szCs w:val="20"/>
          <w:u w:color="000000" w:themeColor="text1"/>
        </w:rPr>
        <w:tab/>
        <w:t>an ongoing contractual relationship with the owner of an online marketplace to provide for the manufacture, distribution, wholesaling, or fulfillment of shipments of consumer products; and</w:t>
      </w:r>
    </w:p>
    <w:p w14:paraId="4D6EE7D9" w14:textId="3232E8F9"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(iii)</w:t>
      </w:r>
      <w:r w:rsidRPr="00FE4FF8">
        <w:rPr>
          <w:rFonts w:eastAsia="Times New Roman"/>
          <w:color w:val="000000" w:themeColor="text1"/>
          <w:szCs w:val="20"/>
          <w:u w:color="000000" w:themeColor="text1"/>
        </w:rPr>
        <w:tab/>
        <w:t>provided the online marketplace with identifying information that has been verified pursuant to Section 37</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31</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20.</w:t>
      </w:r>
    </w:p>
    <w:p w14:paraId="32C159EE" w14:textId="0F2D3919"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(6)</w:t>
      </w:r>
      <w:r w:rsidRPr="00FE4FF8">
        <w:rPr>
          <w:rFonts w:eastAsia="Times New Roman"/>
          <w:color w:val="000000" w:themeColor="text1"/>
          <w:szCs w:val="20"/>
          <w:u w:color="000000" w:themeColor="text1"/>
        </w:rPr>
        <w:tab/>
        <w:t>‘Verify’ means to confirm information provided to an online marketplace pursuant to Section 37</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31</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20, which may include the use of one or more methods that enable the online marketplace to reliably determine that any information and documents provided by a seller or an individual acting on a seller’s behalf are valid, not misappropriated, and not falsified.</w:t>
      </w:r>
    </w:p>
    <w:p w14:paraId="3EA3E118"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FFF2332" w14:textId="5CA21171"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 xml:space="preserve">Section </w:t>
      </w:r>
      <w:r w:rsidR="00E478DA">
        <w:rPr>
          <w:rFonts w:eastAsia="Times New Roman"/>
          <w:color w:val="000000" w:themeColor="text1"/>
          <w:szCs w:val="20"/>
          <w:u w:color="000000" w:themeColor="text1"/>
        </w:rPr>
        <w:t>40-39-3</w:t>
      </w:r>
      <w:r w:rsidRPr="00FE4FF8">
        <w:rPr>
          <w:rFonts w:eastAsia="Times New Roman"/>
          <w:color w:val="000000" w:themeColor="text1"/>
          <w:szCs w:val="20"/>
          <w:u w:color="000000" w:themeColor="text1"/>
        </w:rPr>
        <w:t>20.</w:t>
      </w:r>
      <w:r w:rsidRPr="00FE4FF8">
        <w:rPr>
          <w:rFonts w:eastAsia="Times New Roman"/>
          <w:color w:val="000000" w:themeColor="text1"/>
          <w:szCs w:val="20"/>
          <w:u w:color="000000" w:themeColor="text1"/>
        </w:rPr>
        <w:tab/>
        <w:t>(A)</w:t>
      </w:r>
      <w:r w:rsidRPr="00FE4FF8">
        <w:rPr>
          <w:rFonts w:eastAsia="Times New Roman"/>
          <w:color w:val="000000" w:themeColor="text1"/>
          <w:szCs w:val="20"/>
          <w:u w:color="000000" w:themeColor="text1"/>
        </w:rPr>
        <w:tab/>
        <w:t>An online marketplace must require that any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on an online marketplace platform provide the online marketplace with the following information no later than ten  days after qualifying as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on the platform:</w:t>
      </w:r>
    </w:p>
    <w:p w14:paraId="69F607F5"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(1)(a)</w:t>
      </w:r>
      <w:r w:rsidRPr="00FE4FF8">
        <w:rPr>
          <w:rFonts w:eastAsia="Times New Roman"/>
          <w:color w:val="000000" w:themeColor="text1"/>
          <w:szCs w:val="20"/>
          <w:u w:color="000000" w:themeColor="text1"/>
        </w:rPr>
        <w:tab/>
        <w:t>A bank account number; or</w:t>
      </w:r>
    </w:p>
    <w:p w14:paraId="1E9C3732" w14:textId="4E46FE70"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r>
      <w:r w:rsidR="00425D70">
        <w:rPr>
          <w:rFonts w:eastAsia="Times New Roman"/>
          <w:color w:val="000000" w:themeColor="text1"/>
          <w:szCs w:val="20"/>
          <w:u w:color="000000" w:themeColor="text1"/>
        </w:rPr>
        <w:t>i</w:t>
      </w:r>
      <w:r w:rsidRPr="00FE4FF8">
        <w:rPr>
          <w:rFonts w:eastAsia="Times New Roman"/>
          <w:color w:val="000000" w:themeColor="text1"/>
          <w:szCs w:val="20"/>
          <w:u w:color="000000" w:themeColor="text1"/>
        </w:rPr>
        <w:t>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does not have a bank account, the name of the payee for payments issued by the online marketplace to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w:t>
      </w:r>
    </w:p>
    <w:p w14:paraId="69FE2FEF"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Required bank account information or payee information may be provided by the seller to the online marketplace or to a payment processor or other third party contracted by the online marketplace to maintain the information, provided that the online marketplace ensures that it can obtain the information on demand from the payment processor or other third party;</w:t>
      </w:r>
    </w:p>
    <w:p w14:paraId="5781DB8F" w14:textId="2A99E922"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(2)</w:t>
      </w:r>
      <w:r w:rsidRPr="00FE4FF8">
        <w:rPr>
          <w:rFonts w:eastAsia="Times New Roman"/>
          <w:color w:val="000000" w:themeColor="text1"/>
          <w:szCs w:val="20"/>
          <w:u w:color="000000" w:themeColor="text1"/>
        </w:rPr>
        <w:tab/>
        <w:t>Contact information for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which must include the following:</w:t>
      </w:r>
    </w:p>
    <w:p w14:paraId="2BD0E0D5" w14:textId="61CA2C6C"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(a)</w:t>
      </w:r>
      <w:r w:rsidRPr="00FE4FF8">
        <w:rPr>
          <w:rFonts w:eastAsia="Times New Roman"/>
          <w:color w:val="000000" w:themeColor="text1"/>
          <w:szCs w:val="20"/>
          <w:u w:color="000000" w:themeColor="text1"/>
        </w:rPr>
        <w:tab/>
      </w:r>
      <w:r w:rsidR="00425D70">
        <w:rPr>
          <w:rFonts w:eastAsia="Times New Roman"/>
          <w:color w:val="000000" w:themeColor="text1"/>
          <w:szCs w:val="20"/>
          <w:u w:color="000000" w:themeColor="text1"/>
        </w:rPr>
        <w:t>i</w:t>
      </w:r>
      <w:r w:rsidRPr="00FE4FF8">
        <w:rPr>
          <w:rFonts w:eastAsia="Times New Roman"/>
          <w:color w:val="000000" w:themeColor="text1"/>
          <w:szCs w:val="20"/>
          <w:u w:color="000000" w:themeColor="text1"/>
        </w:rPr>
        <w:t>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is an individual, the individual’s name;</w:t>
      </w:r>
    </w:p>
    <w:p w14:paraId="074E03BB" w14:textId="202293F6"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r>
      <w:r w:rsidR="00425D70">
        <w:rPr>
          <w:rFonts w:eastAsia="Times New Roman"/>
          <w:color w:val="000000" w:themeColor="text1"/>
          <w:szCs w:val="20"/>
          <w:u w:color="000000" w:themeColor="text1"/>
        </w:rPr>
        <w:t>i</w:t>
      </w:r>
      <w:r w:rsidRPr="00FE4FF8">
        <w:rPr>
          <w:rFonts w:eastAsia="Times New Roman"/>
          <w:color w:val="000000" w:themeColor="text1"/>
          <w:szCs w:val="20"/>
          <w:u w:color="000000" w:themeColor="text1"/>
        </w:rPr>
        <w:t>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is not an individual, one of the following forms of identifying information:</w:t>
      </w:r>
    </w:p>
    <w:p w14:paraId="56F1C0D3" w14:textId="50C89EC6"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(i)</w:t>
      </w:r>
      <w:r w:rsidR="00425D70">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a copy of a valid government</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issued photographic identification for an individual acting on behalf of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 that includes the individual’s name; or </w:t>
      </w:r>
    </w:p>
    <w:p w14:paraId="137F38B8" w14:textId="7586147E"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(ii)</w:t>
      </w:r>
      <w:r w:rsidRPr="00FE4FF8">
        <w:rPr>
          <w:rFonts w:eastAsia="Times New Roman"/>
          <w:color w:val="000000" w:themeColor="text1"/>
          <w:szCs w:val="20"/>
          <w:u w:color="000000" w:themeColor="text1"/>
        </w:rPr>
        <w:tab/>
        <w:t>a copy of a valid government</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issued record or tax document that includes the business name and physical address of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and</w:t>
      </w:r>
    </w:p>
    <w:p w14:paraId="12AFAB0F" w14:textId="5ED5589B"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(c)</w:t>
      </w:r>
      <w:r w:rsidRPr="00FE4FF8">
        <w:rPr>
          <w:rFonts w:eastAsia="Times New Roman"/>
          <w:color w:val="000000" w:themeColor="text1"/>
          <w:szCs w:val="20"/>
          <w:u w:color="000000" w:themeColor="text1"/>
        </w:rPr>
        <w:tab/>
      </w:r>
      <w:r w:rsidR="00425D70">
        <w:rPr>
          <w:rFonts w:eastAsia="Times New Roman"/>
          <w:color w:val="000000" w:themeColor="text1"/>
          <w:szCs w:val="20"/>
          <w:u w:color="000000" w:themeColor="text1"/>
        </w:rPr>
        <w:t>a</w:t>
      </w:r>
      <w:r w:rsidRPr="00FE4FF8">
        <w:rPr>
          <w:rFonts w:eastAsia="Times New Roman"/>
          <w:color w:val="000000" w:themeColor="text1"/>
          <w:szCs w:val="20"/>
          <w:u w:color="000000" w:themeColor="text1"/>
        </w:rPr>
        <w:t xml:space="preserve"> current working email address and working telephone number for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and</w:t>
      </w:r>
    </w:p>
    <w:p w14:paraId="78422B79" w14:textId="367C075F"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(3)</w:t>
      </w:r>
      <w:r w:rsidRPr="00FE4FF8">
        <w:rPr>
          <w:rFonts w:eastAsia="Times New Roman"/>
          <w:color w:val="000000" w:themeColor="text1"/>
          <w:szCs w:val="20"/>
          <w:u w:color="000000" w:themeColor="text1"/>
        </w:rPr>
        <w:tab/>
        <w:t>A business tax identification number or, if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does not have a business tax identification number, a taxpayer identification number.</w:t>
      </w:r>
    </w:p>
    <w:p w14:paraId="1D8AB6AC" w14:textId="5E1D0418"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t>An online marketplace must verify the information provided by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pursuant to subsection (A) within ten  days of receiving the information. If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provides a copy of a valid government</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issued tax document, the information contained within the document or identification must be presumed verified as of the date the document or identification was issued.</w:t>
      </w:r>
    </w:p>
    <w:p w14:paraId="6D8EA5BF"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(C)</w:t>
      </w:r>
      <w:r w:rsidRPr="00FE4FF8">
        <w:rPr>
          <w:rFonts w:eastAsia="Times New Roman"/>
          <w:color w:val="000000" w:themeColor="text1"/>
          <w:szCs w:val="20"/>
          <w:u w:color="000000" w:themeColor="text1"/>
        </w:rPr>
        <w:tab/>
        <w:t xml:space="preserve">At least annually, an online marketplace must: </w:t>
      </w:r>
    </w:p>
    <w:p w14:paraId="1479723F" w14:textId="07272789"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(1)</w:t>
      </w:r>
      <w:r w:rsidRPr="00FE4FF8">
        <w:rPr>
          <w:rFonts w:eastAsia="Times New Roman"/>
          <w:color w:val="000000" w:themeColor="text1"/>
          <w:szCs w:val="20"/>
          <w:u w:color="000000" w:themeColor="text1"/>
        </w:rPr>
        <w:tab/>
        <w:t>notify each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operating in the online marketplace that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 must inform the online marketplace of any changes to information required pursuant to subsection (A) within ten  days of receiving the notification; and </w:t>
      </w:r>
    </w:p>
    <w:p w14:paraId="1220970F" w14:textId="52CA3839"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(2)</w:t>
      </w:r>
      <w:r w:rsidRPr="00FE4FF8">
        <w:rPr>
          <w:rFonts w:eastAsia="Times New Roman"/>
          <w:color w:val="000000" w:themeColor="text1"/>
          <w:szCs w:val="20"/>
          <w:u w:color="000000" w:themeColor="text1"/>
        </w:rPr>
        <w:tab/>
        <w:t>as part of the notification, instruct each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to electronically certify either that the information provided pursuant to subsection (A) is unchanged or that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will be providing changes to the information.</w:t>
      </w:r>
    </w:p>
    <w:p w14:paraId="074FC875" w14:textId="136C73AF"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(D)</w:t>
      </w:r>
      <w:r w:rsidRPr="00FE4FF8">
        <w:rPr>
          <w:rFonts w:eastAsia="Times New Roman"/>
          <w:color w:val="000000" w:themeColor="text1"/>
          <w:szCs w:val="20"/>
          <w:u w:color="000000" w:themeColor="text1"/>
        </w:rPr>
        <w:tab/>
        <w:t>In the event that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does not provide the information or certification required by this section after the online marketplace has provided the seller with written or electronic notice and an opportunity to provide the information or certification, the online marketplace must, after providing the seller with a second written or electronic notice and an opportunity to provide such information or certification within ten  days after the issuance of such notice, suspend any future sales activity of the seller until the seller provides the required information or certification.</w:t>
      </w:r>
    </w:p>
    <w:p w14:paraId="1AC9F836"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(E)</w:t>
      </w:r>
      <w:r w:rsidRPr="00FE4FF8">
        <w:rPr>
          <w:rFonts w:eastAsia="Times New Roman"/>
          <w:color w:val="000000" w:themeColor="text1"/>
          <w:szCs w:val="20"/>
          <w:u w:color="000000" w:themeColor="text1"/>
        </w:rPr>
        <w:tab/>
        <w:t>Data collected solely to comply with the requirements of this section may not be used for any other purpose unless so required by law. An online marketplace must implement and maintain reasonable security procedures and practices, including appropriate administrative, physical, and technological safeguards relative to the nature and purposes of the data collected to comply with the requirements of this section, in order to protect the data from unauthorized use, disclosure, access, destruction, or modification.</w:t>
      </w:r>
    </w:p>
    <w:p w14:paraId="514402F0"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9318A6E" w14:textId="2CB35C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 xml:space="preserve">Section </w:t>
      </w:r>
      <w:r w:rsidR="00E478DA">
        <w:rPr>
          <w:rFonts w:eastAsia="Times New Roman"/>
          <w:color w:val="000000" w:themeColor="text1"/>
          <w:szCs w:val="20"/>
          <w:u w:color="000000" w:themeColor="text1"/>
        </w:rPr>
        <w:t>40-39</w:t>
      </w:r>
      <w:r w:rsidR="00985ED2">
        <w:rPr>
          <w:rFonts w:eastAsia="Times New Roman"/>
          <w:color w:val="000000" w:themeColor="text1"/>
          <w:szCs w:val="20"/>
          <w:u w:color="000000" w:themeColor="text1"/>
        </w:rPr>
        <w:noBreakHyphen/>
      </w:r>
      <w:r w:rsidR="00E478DA">
        <w:rPr>
          <w:rFonts w:eastAsia="Times New Roman"/>
          <w:color w:val="000000" w:themeColor="text1"/>
          <w:szCs w:val="20"/>
          <w:u w:color="000000" w:themeColor="text1"/>
        </w:rPr>
        <w:t>3</w:t>
      </w:r>
      <w:r w:rsidRPr="00FE4FF8">
        <w:rPr>
          <w:rFonts w:eastAsia="Times New Roman"/>
          <w:color w:val="000000" w:themeColor="text1"/>
          <w:szCs w:val="20"/>
          <w:u w:color="000000" w:themeColor="text1"/>
        </w:rPr>
        <w:t>30.</w:t>
      </w:r>
      <w:r w:rsidRPr="00FE4FF8">
        <w:rPr>
          <w:rFonts w:eastAsia="Times New Roman"/>
          <w:color w:val="000000" w:themeColor="text1"/>
          <w:szCs w:val="20"/>
          <w:u w:color="000000" w:themeColor="text1"/>
        </w:rPr>
        <w:tab/>
        <w:t>(A)</w:t>
      </w:r>
      <w:r w:rsidRPr="00FE4FF8">
        <w:rPr>
          <w:rFonts w:eastAsia="Times New Roman"/>
          <w:color w:val="000000" w:themeColor="text1"/>
          <w:szCs w:val="20"/>
          <w:u w:color="000000" w:themeColor="text1"/>
        </w:rPr>
        <w:tab/>
        <w:t>An online marketplace must require each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 with an aggregate total of twenty thousand dollars or more in annual gross revenues through the online marketplace platform to provide and disclose certain identifying information set forth in subsection (B) in: </w:t>
      </w:r>
    </w:p>
    <w:p w14:paraId="3C985E40"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(1)</w:t>
      </w:r>
      <w:r w:rsidRPr="00FE4FF8">
        <w:rPr>
          <w:rFonts w:eastAsia="Times New Roman"/>
          <w:color w:val="000000" w:themeColor="text1"/>
          <w:szCs w:val="20"/>
          <w:u w:color="000000" w:themeColor="text1"/>
        </w:rPr>
        <w:tab/>
        <w:t xml:space="preserve">any order confirmation message or other document or communication made to a consumer once a purchase is finalized; and </w:t>
      </w:r>
    </w:p>
    <w:p w14:paraId="3C64913F"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(2)</w:t>
      </w:r>
      <w:r w:rsidRPr="00FE4FF8">
        <w:rPr>
          <w:rFonts w:eastAsia="Times New Roman"/>
          <w:color w:val="000000" w:themeColor="text1"/>
          <w:szCs w:val="20"/>
          <w:u w:color="000000" w:themeColor="text1"/>
        </w:rPr>
        <w:tab/>
        <w:t>the consumer’s account transaction history.</w:t>
      </w:r>
    </w:p>
    <w:p w14:paraId="7924E91D"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t>The identifying information required to be disclosed pursuant to subsection (A) includes the following information:</w:t>
      </w:r>
    </w:p>
    <w:p w14:paraId="180FE577" w14:textId="74618966"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(1)</w:t>
      </w:r>
      <w:r w:rsidRPr="00FE4FF8">
        <w:rPr>
          <w:rFonts w:eastAsia="Times New Roman"/>
          <w:color w:val="000000" w:themeColor="text1"/>
          <w:szCs w:val="20"/>
          <w:u w:color="000000" w:themeColor="text1"/>
        </w:rPr>
        <w:tab/>
        <w:t>the full name of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 which may include the </w:t>
      </w:r>
      <w:r w:rsidR="007C2DEB" w:rsidRPr="00FE4FF8">
        <w:rPr>
          <w:rFonts w:eastAsia="Times New Roman"/>
          <w:color w:val="000000" w:themeColor="text1"/>
          <w:szCs w:val="20"/>
          <w:u w:color="000000" w:themeColor="text1"/>
        </w:rPr>
        <w:t>seller’s</w:t>
      </w:r>
      <w:r w:rsidRPr="00FE4FF8">
        <w:rPr>
          <w:rFonts w:eastAsia="Times New Roman"/>
          <w:color w:val="000000" w:themeColor="text1"/>
          <w:szCs w:val="20"/>
          <w:u w:color="000000" w:themeColor="text1"/>
        </w:rPr>
        <w:t xml:space="preserve"> name, the seller’s company name, or the name by which the seller or company operates in the online marketplace;</w:t>
      </w:r>
    </w:p>
    <w:p w14:paraId="34E2B74F" w14:textId="4D93BD9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(2)</w:t>
      </w:r>
      <w:r w:rsidRPr="00FE4FF8">
        <w:rPr>
          <w:rFonts w:eastAsia="Times New Roman"/>
          <w:color w:val="000000" w:themeColor="text1"/>
          <w:szCs w:val="20"/>
          <w:u w:color="000000" w:themeColor="text1"/>
        </w:rPr>
        <w:tab/>
        <w:t>the physical address of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w:t>
      </w:r>
    </w:p>
    <w:p w14:paraId="789F2A90" w14:textId="10F56C18"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(3)</w:t>
      </w:r>
      <w:r w:rsidRPr="00FE4FF8">
        <w:rPr>
          <w:rFonts w:eastAsia="Times New Roman"/>
          <w:color w:val="000000" w:themeColor="text1"/>
          <w:szCs w:val="20"/>
          <w:u w:color="000000" w:themeColor="text1"/>
        </w:rPr>
        <w:tab/>
        <w:t>contact information for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for the purpose of allowing direct and unhindered communication between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sellers and users of the online marketplace, provided the requirements of this subsection may not be construed so as to prevent an online marketplace from preventing fraud, abuse, or spam through such communications, including a current working telephone number, a current working email address, or other means of electronic messaging that may be provided to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by the online marketplace; and</w:t>
      </w:r>
    </w:p>
    <w:p w14:paraId="0D30C07D" w14:textId="676A54CF"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(4)</w:t>
      </w:r>
      <w:r w:rsidRPr="00FE4FF8">
        <w:rPr>
          <w:rFonts w:eastAsia="Times New Roman"/>
          <w:color w:val="000000" w:themeColor="text1"/>
          <w:szCs w:val="20"/>
          <w:u w:color="000000" w:themeColor="text1"/>
        </w:rPr>
        <w:tab/>
        <w:t>whether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uses a different seller to fulfill purchase orders to customers placed through the online marketplace. Upon the request of an authenticated purchaser, if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third-party seller uses a different seller to fulfill purchase orders to consumers, the online marketplace must require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to provide identifying information for the different seller.</w:t>
      </w:r>
    </w:p>
    <w:p w14:paraId="22553DB9" w14:textId="7E996EFF"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(C)</w:t>
      </w:r>
      <w:r w:rsidRPr="00FE4FF8">
        <w:rPr>
          <w:rFonts w:eastAsia="Times New Roman"/>
          <w:color w:val="000000" w:themeColor="text1"/>
          <w:szCs w:val="20"/>
          <w:u w:color="000000" w:themeColor="text1"/>
        </w:rPr>
        <w:tab/>
        <w:t>Upon the request of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an online marketplace may provide for partial disclosure of the identifying information required by this section under the following circumstances:</w:t>
      </w:r>
    </w:p>
    <w:p w14:paraId="3B2DB288" w14:textId="48940BC4"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(1)</w:t>
      </w:r>
      <w:r w:rsidRPr="00FE4FF8">
        <w:rPr>
          <w:rFonts w:eastAsia="Times New Roman"/>
          <w:color w:val="000000" w:themeColor="text1"/>
          <w:szCs w:val="20"/>
          <w:u w:color="000000" w:themeColor="text1"/>
        </w:rPr>
        <w:tab/>
        <w:t>If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certifies to the online marketplace that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does not have a business address and only has a residential street address, or that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EC3483">
        <w:rPr>
          <w:rFonts w:eastAsia="Times New Roman"/>
          <w:color w:val="000000" w:themeColor="text1"/>
          <w:szCs w:val="20"/>
          <w:u w:color="000000" w:themeColor="text1"/>
        </w:rPr>
        <w:t>-</w:t>
      </w:r>
      <w:r w:rsidRPr="00FE4FF8">
        <w:rPr>
          <w:rFonts w:eastAsia="Times New Roman"/>
          <w:color w:val="000000" w:themeColor="text1"/>
          <w:szCs w:val="20"/>
          <w:u w:color="000000" w:themeColor="text1"/>
        </w:rPr>
        <w:t>party seller has a combined business and residential address, the online marketplace may:</w:t>
      </w:r>
    </w:p>
    <w:p w14:paraId="6326DA74" w14:textId="2C1A3442"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 xml:space="preserve">(a) </w:t>
      </w:r>
      <w:r w:rsidRPr="00FE4FF8">
        <w:rPr>
          <w:rFonts w:eastAsia="Times New Roman"/>
          <w:color w:val="000000" w:themeColor="text1"/>
          <w:szCs w:val="20"/>
          <w:u w:color="000000" w:themeColor="text1"/>
        </w:rPr>
        <w:tab/>
        <w:t>disclose only the country and, if applicable, the state in which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 resides; and </w:t>
      </w:r>
    </w:p>
    <w:p w14:paraId="6497862E" w14:textId="7E8A39EE"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t>inform consumers that there is no business address available for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and that consumer inquiries should be submitted to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by telephone, email, or other means of electronic messaging provided to the seller by the online marketplace.</w:t>
      </w:r>
    </w:p>
    <w:p w14:paraId="24037E16" w14:textId="69E5BE23"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(2)</w:t>
      </w:r>
      <w:r w:rsidRPr="00FE4FF8">
        <w:rPr>
          <w:rFonts w:eastAsia="Times New Roman"/>
          <w:color w:val="000000" w:themeColor="text1"/>
          <w:szCs w:val="20"/>
          <w:u w:color="000000" w:themeColor="text1"/>
        </w:rPr>
        <w:tab/>
        <w:t>If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certifies to the online marketplace that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is a business that has a physical address for product returns, the online marketplace may disclose the physical address for consumer product returns.</w:t>
      </w:r>
    </w:p>
    <w:p w14:paraId="3508D0A2" w14:textId="754891E6"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(3)</w:t>
      </w:r>
      <w:r w:rsidRPr="00FE4FF8">
        <w:rPr>
          <w:rFonts w:eastAsia="Times New Roman"/>
          <w:color w:val="000000" w:themeColor="text1"/>
          <w:szCs w:val="20"/>
          <w:u w:color="000000" w:themeColor="text1"/>
        </w:rPr>
        <w:tab/>
        <w:t>If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certifies to the online marketplace that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does not have a phone number other than a personal telephone number, the online marketplace may inform consumers that there is no telephone number available for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and that consumer inquiries should be submitted to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by email or other means of electronic messaging provided to such seller by the online marketplace.</w:t>
      </w:r>
    </w:p>
    <w:p w14:paraId="2E38AAFF" w14:textId="444A88D4"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(D)</w:t>
      </w:r>
      <w:r w:rsidRPr="00FE4FF8">
        <w:rPr>
          <w:rFonts w:eastAsia="Times New Roman"/>
          <w:color w:val="000000" w:themeColor="text1"/>
          <w:szCs w:val="20"/>
          <w:u w:color="000000" w:themeColor="text1"/>
        </w:rPr>
        <w:tab/>
        <w:t>If an online marketplace becomes aware that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 has: </w:t>
      </w:r>
    </w:p>
    <w:p w14:paraId="4F04D1CD"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(1)</w:t>
      </w:r>
      <w:r w:rsidRPr="00FE4FF8">
        <w:rPr>
          <w:rFonts w:eastAsia="Times New Roman"/>
          <w:color w:val="000000" w:themeColor="text1"/>
          <w:szCs w:val="20"/>
          <w:u w:color="000000" w:themeColor="text1"/>
        </w:rPr>
        <w:tab/>
        <w:t xml:space="preserve">made a false representation to the online marketplace in order to justify the provision of a partial disclosure under subsection (B); or </w:t>
      </w:r>
    </w:p>
    <w:p w14:paraId="536A97D4" w14:textId="22352CFF" w:rsidR="001F27F9"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(2)</w:t>
      </w:r>
      <w:r w:rsidRPr="00FE4FF8">
        <w:rPr>
          <w:rFonts w:eastAsia="Times New Roman"/>
          <w:color w:val="000000" w:themeColor="text1"/>
          <w:szCs w:val="20"/>
          <w:u w:color="000000" w:themeColor="text1"/>
        </w:rPr>
        <w:tab/>
        <w:t>requested and received a provision for partial disclosure under subsection (B) but has not provided responsive answers within a reasonable time frame to consumer inquiries submitted to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 by telephone, email, or other means of electronic messaging provided to the seller by the online marketplace, then the online marketplace must, after providing the seller with a written or electronic notice and an opportunity to respond no later than ten </w:t>
      </w:r>
    </w:p>
    <w:p w14:paraId="06F18529" w14:textId="4B92A256" w:rsidR="00FE4FF8" w:rsidRPr="00FE4FF8" w:rsidRDefault="001F27F9"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 xml:space="preserve"> </w:t>
      </w:r>
      <w:r w:rsidR="00FE4FF8" w:rsidRPr="00FE4FF8">
        <w:rPr>
          <w:rFonts w:eastAsia="Times New Roman"/>
          <w:color w:val="000000" w:themeColor="text1"/>
          <w:szCs w:val="20"/>
          <w:u w:color="000000" w:themeColor="text1"/>
        </w:rPr>
        <w:t>days after the issuance of the notice, suspend any future sales activity of the seller unless the seller consents to the disclosure of the identifying information required by subsection (A).</w:t>
      </w:r>
    </w:p>
    <w:p w14:paraId="7A8E27A5" w14:textId="64B953AD"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(E)</w:t>
      </w:r>
      <w:r w:rsidRPr="00FE4FF8">
        <w:rPr>
          <w:rFonts w:eastAsia="Times New Roman"/>
          <w:color w:val="000000" w:themeColor="text1"/>
          <w:szCs w:val="20"/>
          <w:u w:color="000000" w:themeColor="text1"/>
        </w:rPr>
        <w:tab/>
        <w:t>An online marketplace must disclose to consumers, in a clear and conspicuous manner on the product listing of any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a reporting mechanism that allows for electronic and telephone reporting of suspicious marketplace activity to the online marketplace.</w:t>
      </w:r>
    </w:p>
    <w:p w14:paraId="3A93D629" w14:textId="6951EF8A"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(F)</w:t>
      </w:r>
      <w:r w:rsidRPr="00FE4FF8">
        <w:rPr>
          <w:rFonts w:eastAsia="Times New Roman"/>
          <w:color w:val="000000" w:themeColor="text1"/>
          <w:szCs w:val="20"/>
          <w:u w:color="000000" w:themeColor="text1"/>
        </w:rPr>
        <w:tab/>
        <w:t>If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does not comply with the requirements to provide and disclose information under this section, the online marketplace must, after providing the seller with written or electronic notice and an opportunity to provide or disclose the information no later than ten  days after the issuance of the notice, suspend any future sales activity of such seller until the seller complies with the requirements.</w:t>
      </w:r>
    </w:p>
    <w:p w14:paraId="548BA80D"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CBAEDAB" w14:textId="727970E0"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 xml:space="preserve">Section </w:t>
      </w:r>
      <w:r w:rsidR="00E478DA">
        <w:rPr>
          <w:rFonts w:eastAsia="Times New Roman"/>
          <w:color w:val="000000" w:themeColor="text1"/>
          <w:szCs w:val="20"/>
          <w:u w:color="000000" w:themeColor="text1"/>
        </w:rPr>
        <w:t>40-39</w:t>
      </w:r>
      <w:r w:rsidR="00985ED2">
        <w:rPr>
          <w:rFonts w:eastAsia="Times New Roman"/>
          <w:color w:val="000000" w:themeColor="text1"/>
          <w:szCs w:val="20"/>
          <w:u w:color="000000" w:themeColor="text1"/>
        </w:rPr>
        <w:noBreakHyphen/>
      </w:r>
      <w:r w:rsidR="00E478DA">
        <w:rPr>
          <w:rFonts w:eastAsia="Times New Roman"/>
          <w:color w:val="000000" w:themeColor="text1"/>
          <w:szCs w:val="20"/>
          <w:u w:color="000000" w:themeColor="text1"/>
        </w:rPr>
        <w:t>3</w:t>
      </w:r>
      <w:r w:rsidRPr="00FE4FF8">
        <w:rPr>
          <w:rFonts w:eastAsia="Times New Roman"/>
          <w:color w:val="000000" w:themeColor="text1"/>
          <w:szCs w:val="20"/>
          <w:u w:color="000000" w:themeColor="text1"/>
        </w:rPr>
        <w:t>40.</w:t>
      </w:r>
      <w:r w:rsidRPr="00FE4FF8">
        <w:rPr>
          <w:rFonts w:eastAsia="Times New Roman"/>
          <w:color w:val="000000" w:themeColor="text1"/>
          <w:szCs w:val="20"/>
          <w:u w:color="000000" w:themeColor="text1"/>
        </w:rPr>
        <w:tab/>
        <w:t>(A)</w:t>
      </w:r>
      <w:r w:rsidRPr="00FE4FF8">
        <w:rPr>
          <w:rFonts w:eastAsia="Times New Roman"/>
          <w:color w:val="000000" w:themeColor="text1"/>
          <w:szCs w:val="20"/>
          <w:u w:color="000000" w:themeColor="text1"/>
        </w:rPr>
        <w:tab/>
        <w:t>The Attorney General has exclusive authority to enforce the provisions of this chapter.</w:t>
      </w:r>
    </w:p>
    <w:p w14:paraId="7A3C5EA8" w14:textId="50FA07B6"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t>Prior to initiating any action under this chapter, the Attorney General must provide an online marketplace or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with thirty days’ written notice identifying the specific provision or provisions of this chapter that the Attorney General alleges have been or are being violated. If within this thirty</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day period the online marketplace or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cures the noticed violation or violations and provides the Attorney General with an express written statement that the alleged violation or violations have been cured and that no further violations will occur, no action may be initiated against the online marketplace or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w:t>
      </w:r>
    </w:p>
    <w:p w14:paraId="7908534E" w14:textId="08CC001F"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(C)</w:t>
      </w:r>
      <w:r w:rsidRPr="00FE4FF8">
        <w:rPr>
          <w:rFonts w:eastAsia="Times New Roman"/>
          <w:color w:val="000000" w:themeColor="text1"/>
          <w:szCs w:val="20"/>
          <w:u w:color="000000" w:themeColor="text1"/>
        </w:rPr>
        <w:tab/>
        <w:t>If an online marketplace or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392D78">
        <w:rPr>
          <w:rFonts w:eastAsia="Times New Roman"/>
          <w:color w:val="000000" w:themeColor="text1"/>
          <w:szCs w:val="20"/>
          <w:u w:color="000000" w:themeColor="text1"/>
        </w:rPr>
        <w:t>-</w:t>
      </w:r>
      <w:r w:rsidRPr="00FE4FF8">
        <w:rPr>
          <w:rFonts w:eastAsia="Times New Roman"/>
          <w:color w:val="000000" w:themeColor="text1"/>
          <w:szCs w:val="20"/>
          <w:u w:color="000000" w:themeColor="text1"/>
        </w:rPr>
        <w:t>party seller continues to violate the provisions of this chapter following the thirty</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day cure period under subsection (B) or breaches an express written statement provided to the Attorney General under subsection (B), the Attorney General may initiate an action in circuit court and may seek an injunction to restrain any violations of this chapter and civil penalties of up to seven thousand five hundred dollars for each violation under this chapter.</w:t>
      </w:r>
    </w:p>
    <w:p w14:paraId="4F70D657"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(D)</w:t>
      </w:r>
      <w:r w:rsidRPr="00FE4FF8">
        <w:rPr>
          <w:rFonts w:eastAsia="Times New Roman"/>
          <w:color w:val="000000" w:themeColor="text1"/>
          <w:szCs w:val="20"/>
          <w:u w:color="000000" w:themeColor="text1"/>
        </w:rPr>
        <w:tab/>
        <w:t>The Attorney General may recover reasonable expenses incurred in investigating and preparing a case, including attorney’s fees, in any action initiated under this chapter.</w:t>
      </w:r>
    </w:p>
    <w:p w14:paraId="36DB9CF3" w14:textId="77777777" w:rsid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(E)</w:t>
      </w:r>
      <w:r w:rsidRPr="00FE4FF8">
        <w:rPr>
          <w:rFonts w:eastAsia="Times New Roman"/>
          <w:color w:val="000000" w:themeColor="text1"/>
          <w:szCs w:val="20"/>
          <w:u w:color="000000" w:themeColor="text1"/>
        </w:rPr>
        <w:tab/>
        <w:t>Nothing in this chapter may be construed as providing the basis for, or be subject to, a private right of action for violations of this chapter or under any other law.”</w:t>
      </w:r>
    </w:p>
    <w:p w14:paraId="2220EBD9" w14:textId="77777777" w:rsid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404A7F1" w14:textId="6EAA2084" w:rsid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The title of Chapter 39, Title 40 is changed from ‘Pawnbrokers’ to ‘Pawnbrokers and Online Marketplaces</w:t>
      </w:r>
      <w:r w:rsidR="00392D78">
        <w:rPr>
          <w:rFonts w:eastAsia="Times New Roman"/>
          <w:color w:val="000000" w:themeColor="text1"/>
          <w:szCs w:val="20"/>
          <w:u w:color="000000" w:themeColor="text1"/>
        </w:rPr>
        <w:t>.</w:t>
      </w:r>
      <w:r>
        <w:rPr>
          <w:rFonts w:eastAsia="Times New Roman"/>
          <w:color w:val="000000" w:themeColor="text1"/>
          <w:szCs w:val="20"/>
          <w:u w:color="000000" w:themeColor="text1"/>
        </w:rPr>
        <w:t>’ The Code Commission is directed to make all necessary and conforming changes to the 1976 Code.</w:t>
      </w:r>
    </w:p>
    <w:p w14:paraId="21ABA6AA" w14:textId="77777777" w:rsid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12580A1"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3.</w:t>
      </w:r>
      <w:r>
        <w:rPr>
          <w:rFonts w:eastAsia="Times New Roman"/>
          <w:color w:val="000000" w:themeColor="text1"/>
          <w:szCs w:val="20"/>
          <w:u w:color="000000" w:themeColor="text1"/>
        </w:rPr>
        <w:tab/>
        <w:t>Section 4-39-10 through Section 4-39-155 are designated as ‘Article 1’ in Chapter 39, Title 40. The article shall be designated as ‘Pawnbrokers’. The Code Commissioner is directed to make all necessary and conforming changes to the 1976 Code.</w:t>
      </w:r>
    </w:p>
    <w:p w14:paraId="26C47529"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41A1260" w14:textId="0FAE5A5F" w:rsidR="00FE44DA" w:rsidRPr="00522CE0" w:rsidRDefault="00FE4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E4FF8">
        <w:rPr>
          <w:rFonts w:eastAsia="Times New Roman"/>
          <w:color w:val="000000" w:themeColor="text1"/>
          <w:szCs w:val="20"/>
          <w:u w:color="000000" w:themeColor="text1"/>
        </w:rPr>
        <w:t>SECTION</w:t>
      </w:r>
      <w:r w:rsidRPr="00FE4FF8">
        <w:rPr>
          <w:rFonts w:eastAsia="Times New Roman"/>
          <w:color w:val="000000" w:themeColor="text1"/>
          <w:szCs w:val="20"/>
          <w:u w:color="000000" w:themeColor="text1"/>
        </w:rPr>
        <w:tab/>
      </w:r>
      <w:r>
        <w:rPr>
          <w:rFonts w:eastAsia="Times New Roman"/>
          <w:color w:val="000000" w:themeColor="text1"/>
          <w:szCs w:val="20"/>
          <w:u w:color="000000" w:themeColor="text1"/>
        </w:rPr>
        <w:t>4</w:t>
      </w:r>
      <w:r w:rsidRPr="00FE4FF8">
        <w:rPr>
          <w:rFonts w:eastAsia="Times New Roman"/>
          <w:szCs w:val="20"/>
        </w:rPr>
        <w:t>.</w:t>
      </w:r>
      <w:r w:rsidRPr="00FE4FF8">
        <w:rPr>
          <w:rFonts w:eastAsia="Times New Roman"/>
          <w:szCs w:val="20"/>
        </w:rPr>
        <w:tab/>
        <w:t>This act takes effect upon approval by the Governor.</w:t>
      </w:r>
    </w:p>
    <w:p w14:paraId="5B03A310" w14:textId="5EFF3786" w:rsidR="00325ED0" w:rsidRDefault="00985ED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7544A3E" w14:textId="77777777" w:rsidR="005F5CDB" w:rsidRDefault="005F5CDB" w:rsidP="005F5CDB">
      <w:pPr>
        <w:suppressAutoHyphens/>
        <w:jc w:val="both"/>
        <w:rPr>
          <w:rFonts w:eastAsia="Times New Roman"/>
        </w:rPr>
      </w:pPr>
    </w:p>
    <w:sectPr w:rsidR="005F5CDB" w:rsidSect="005F5C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54F12" w14:textId="77777777" w:rsidR="00FE4FF8" w:rsidRDefault="00FE4FF8" w:rsidP="00522CE0">
      <w:r>
        <w:separator/>
      </w:r>
    </w:p>
  </w:endnote>
  <w:endnote w:type="continuationSeparator" w:id="0">
    <w:p w14:paraId="594204F3" w14:textId="77777777" w:rsidR="00FE4FF8" w:rsidRDefault="00FE4F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14258B0-25B6-49E9-A35C-11FC994AA107}"/>
    <w:embedBold r:id="rId2" w:fontKey="{65F94BC4-BDAC-4C2D-A8E0-731318B65F21}"/>
  </w:font>
  <w:font w:name="Calibri">
    <w:panose1 w:val="020F0502020204030204"/>
    <w:charset w:val="00"/>
    <w:family w:val="swiss"/>
    <w:pitch w:val="variable"/>
    <w:sig w:usb0="E4002EFF" w:usb1="C000247B" w:usb2="00000009" w:usb3="00000000" w:csb0="000001FF" w:csb1="00000000"/>
    <w:embedRegular r:id="rId3" w:fontKey="{0BCA0D85-DDC5-4741-A58E-25CA547B9085}"/>
    <w:embedBold r:id="rId4" w:fontKey="{80A53B34-3461-44D0-8FC0-38C3E32C6F1D}"/>
  </w:font>
  <w:font w:name="Segoe UI">
    <w:panose1 w:val="020B0502040204020203"/>
    <w:charset w:val="00"/>
    <w:family w:val="swiss"/>
    <w:pitch w:val="variable"/>
    <w:sig w:usb0="E4002EFF" w:usb1="C000E47F" w:usb2="00000009" w:usb3="00000000" w:csb0="000001FF" w:csb1="00000000"/>
    <w:embedRegular r:id="rId5" w:fontKey="{1AA69B2C-021D-41F8-AB4A-49F9DDFB9C71}"/>
  </w:font>
  <w:font w:name="Cambria">
    <w:panose1 w:val="02040503050406030204"/>
    <w:charset w:val="00"/>
    <w:family w:val="roman"/>
    <w:pitch w:val="variable"/>
    <w:sig w:usb0="E00006FF" w:usb1="420024FF" w:usb2="02000000" w:usb3="00000000" w:csb0="0000019F" w:csb1="00000000"/>
    <w:embedRegular r:id="rId6" w:fontKey="{6A57F2A9-8A68-4D46-8F34-8030719308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2DF2" w14:textId="3539CDEF" w:rsidR="005F5CDB" w:rsidRPr="00EB65DB" w:rsidRDefault="005F5CDB" w:rsidP="00EB65DB">
    <w:pPr>
      <w:pStyle w:val="Footer"/>
      <w:tabs>
        <w:tab w:val="clear" w:pos="4680"/>
        <w:tab w:val="clear" w:pos="9360"/>
        <w:tab w:val="center" w:pos="2995"/>
      </w:tabs>
      <w:spacing w:before="120"/>
    </w:pPr>
    <w:r>
      <w:t>[1199]</w:t>
    </w:r>
    <w:r>
      <w:tab/>
    </w:r>
    <w:r>
      <w:fldChar w:fldCharType="begin"/>
    </w:r>
    <w:r>
      <w:instrText xml:space="preserve"> PAGE  \* MERGEFORMAT </w:instrText>
    </w:r>
    <w:r>
      <w:fldChar w:fldCharType="separate"/>
    </w:r>
    <w:r w:rsidR="00015E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9ECD0" w14:textId="77777777" w:rsidR="00FE4FF8" w:rsidRDefault="00FE4FF8" w:rsidP="00522CE0">
      <w:r>
        <w:separator/>
      </w:r>
    </w:p>
  </w:footnote>
  <w:footnote w:type="continuationSeparator" w:id="0">
    <w:p w14:paraId="69792F88" w14:textId="77777777" w:rsidR="00FE4FF8" w:rsidRDefault="00FE4F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9THIR.KMM.RT"/>
    <w:docVar w:name="CoverAttorneyInitials" w:val="KMM"/>
    <w:docVar w:name="CoverAttorneyLastName" w:val="Moffitt"/>
    <w:docVar w:name="CoverBillType" w:val="b"/>
    <w:docVar w:name="CoverSenator" w:val="RT"/>
    <w:docVar w:name="dvBillNumber" w:val="1199"/>
    <w:docVar w:name="dvBillNumberPrefix" w:val="S. "/>
    <w:docVar w:name="dvOriginalBody" w:val="Senate"/>
    <w:docVar w:name="fulldraftpath" w:val="L:\S-RES\RT\009THIR.KMM.RT.DOCX"/>
    <w:docVar w:name="NameofBody" w:val="S"/>
    <w:docVar w:name="vgroup2" w:val="S-RES"/>
  </w:docVars>
  <w:rsids>
    <w:rsidRoot w:val="00FE44DA"/>
    <w:rsid w:val="00015ED2"/>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27F9"/>
    <w:rsid w:val="00216025"/>
    <w:rsid w:val="00245C4E"/>
    <w:rsid w:val="00280EF0"/>
    <w:rsid w:val="002C1321"/>
    <w:rsid w:val="002C2031"/>
    <w:rsid w:val="002C5896"/>
    <w:rsid w:val="002D3BED"/>
    <w:rsid w:val="002D4BCD"/>
    <w:rsid w:val="00307C2B"/>
    <w:rsid w:val="00315D04"/>
    <w:rsid w:val="00325ED0"/>
    <w:rsid w:val="00346A35"/>
    <w:rsid w:val="00383247"/>
    <w:rsid w:val="00392D78"/>
    <w:rsid w:val="003D6E2B"/>
    <w:rsid w:val="003E7597"/>
    <w:rsid w:val="00413EBF"/>
    <w:rsid w:val="00425D70"/>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C1EC1"/>
    <w:rsid w:val="005F07AC"/>
    <w:rsid w:val="005F1745"/>
    <w:rsid w:val="005F5CDB"/>
    <w:rsid w:val="006A1802"/>
    <w:rsid w:val="006C0CBB"/>
    <w:rsid w:val="006C74EA"/>
    <w:rsid w:val="006F56CF"/>
    <w:rsid w:val="00720D40"/>
    <w:rsid w:val="007318D4"/>
    <w:rsid w:val="00765784"/>
    <w:rsid w:val="007A4390"/>
    <w:rsid w:val="007C2DEB"/>
    <w:rsid w:val="007E5CB7"/>
    <w:rsid w:val="008314D2"/>
    <w:rsid w:val="0084772D"/>
    <w:rsid w:val="00870F6F"/>
    <w:rsid w:val="008A7BC0"/>
    <w:rsid w:val="008B2F42"/>
    <w:rsid w:val="008C3697"/>
    <w:rsid w:val="008E185F"/>
    <w:rsid w:val="008F023B"/>
    <w:rsid w:val="00904E16"/>
    <w:rsid w:val="009162B3"/>
    <w:rsid w:val="00927C62"/>
    <w:rsid w:val="00973459"/>
    <w:rsid w:val="00983951"/>
    <w:rsid w:val="00984124"/>
    <w:rsid w:val="00984640"/>
    <w:rsid w:val="00985ED2"/>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C4C03"/>
    <w:rsid w:val="00C45366"/>
    <w:rsid w:val="00C57023"/>
    <w:rsid w:val="00C74052"/>
    <w:rsid w:val="00C8334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78DA"/>
    <w:rsid w:val="00E76AD9"/>
    <w:rsid w:val="00E86EE2"/>
    <w:rsid w:val="00E91E2F"/>
    <w:rsid w:val="00EA3546"/>
    <w:rsid w:val="00EB47AE"/>
    <w:rsid w:val="00EB6528"/>
    <w:rsid w:val="00EB65DB"/>
    <w:rsid w:val="00EC3483"/>
    <w:rsid w:val="00EC34E1"/>
    <w:rsid w:val="00F0234A"/>
    <w:rsid w:val="00F05CF2"/>
    <w:rsid w:val="00F51241"/>
    <w:rsid w:val="00F52959"/>
    <w:rsid w:val="00F55884"/>
    <w:rsid w:val="00FB7F01"/>
    <w:rsid w:val="00FC0D36"/>
    <w:rsid w:val="00FC3A2B"/>
    <w:rsid w:val="00FE44DA"/>
    <w:rsid w:val="00FE4FF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68C485"/>
  <w15:docId w15:val="{76C6FE82-1EF7-4177-AA37-D05DFCCB7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346A35"/>
    <w:rPr>
      <w:sz w:val="16"/>
      <w:szCs w:val="16"/>
    </w:rPr>
  </w:style>
  <w:style w:type="paragraph" w:styleId="CommentText">
    <w:name w:val="annotation text"/>
    <w:basedOn w:val="Normal"/>
    <w:link w:val="CommentTextChar"/>
    <w:uiPriority w:val="99"/>
    <w:unhideWhenUsed/>
    <w:rsid w:val="00346A35"/>
    <w:rPr>
      <w:sz w:val="20"/>
      <w:szCs w:val="20"/>
    </w:rPr>
  </w:style>
  <w:style w:type="character" w:customStyle="1" w:styleId="CommentTextChar">
    <w:name w:val="Comment Text Char"/>
    <w:basedOn w:val="DefaultParagraphFont"/>
    <w:link w:val="CommentText"/>
    <w:uiPriority w:val="99"/>
    <w:rsid w:val="00346A35"/>
    <w:rPr>
      <w:sz w:val="20"/>
      <w:szCs w:val="20"/>
    </w:rPr>
  </w:style>
  <w:style w:type="paragraph" w:styleId="CommentSubject">
    <w:name w:val="annotation subject"/>
    <w:basedOn w:val="CommentText"/>
    <w:next w:val="CommentText"/>
    <w:link w:val="CommentSubjectChar"/>
    <w:uiPriority w:val="99"/>
    <w:semiHidden/>
    <w:unhideWhenUsed/>
    <w:rsid w:val="00346A35"/>
    <w:rPr>
      <w:b/>
      <w:bCs/>
    </w:rPr>
  </w:style>
  <w:style w:type="character" w:customStyle="1" w:styleId="CommentSubjectChar">
    <w:name w:val="Comment Subject Char"/>
    <w:basedOn w:val="CommentTextChar"/>
    <w:link w:val="CommentSubject"/>
    <w:uiPriority w:val="99"/>
    <w:semiHidden/>
    <w:rsid w:val="00346A35"/>
    <w:rPr>
      <w:b/>
      <w:bCs/>
      <w:sz w:val="20"/>
      <w:szCs w:val="20"/>
    </w:rPr>
  </w:style>
  <w:style w:type="paragraph" w:styleId="BalloonText">
    <w:name w:val="Balloon Text"/>
    <w:basedOn w:val="Normal"/>
    <w:link w:val="BalloonTextChar"/>
    <w:uiPriority w:val="99"/>
    <w:semiHidden/>
    <w:unhideWhenUsed/>
    <w:rsid w:val="001F27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7F9"/>
    <w:rPr>
      <w:rFonts w:ascii="Segoe UI" w:hAnsi="Segoe UI" w:cs="Segoe UI"/>
      <w:sz w:val="18"/>
      <w:szCs w:val="18"/>
    </w:rPr>
  </w:style>
  <w:style w:type="character" w:styleId="Hyperlink">
    <w:name w:val="Hyperlink"/>
    <w:basedOn w:val="DefaultParagraphFont"/>
    <w:uiPriority w:val="99"/>
    <w:unhideWhenUsed/>
    <w:rsid w:val="005F5C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99&amp;session=124&amp;summary=B" TargetMode="External"/><Relationship Id="rId3" Type="http://schemas.openxmlformats.org/officeDocument/2006/relationships/webSettings" Target="webSettings.xml"/><Relationship Id="rId7" Type="http://schemas.openxmlformats.org/officeDocument/2006/relationships/hyperlink" Target="file:///h:\sj\202203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199_2022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2384</Words>
  <Characters>13593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1199: Subject not yet available - South Carolina Legislature Online</dc:title>
  <dc:subject/>
  <dc:creator>Ken Moffitt</dc:creator>
  <cp:keywords/>
  <dc:description/>
  <cp:lastModifiedBy>Sade Wilson</cp:lastModifiedBy>
  <cp:revision>2</cp:revision>
  <dcterms:created xsi:type="dcterms:W3CDTF">2022-03-29T12:57:00Z</dcterms:created>
  <dcterms:modified xsi:type="dcterms:W3CDTF">2022-03-29T12:57:00Z</dcterms:modified>
</cp:coreProperties>
</file>