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67E0" w:rsidRDefault="00B867E0" w:rsidP="00B867E0">
      <w:pPr>
        <w:widowControl w:val="0"/>
        <w:jc w:val="center"/>
      </w:pPr>
      <w:r w:rsidRPr="00B867E0">
        <w:rPr>
          <w:b/>
        </w:rPr>
        <w:t>South Carolina General Assembly</w:t>
      </w:r>
    </w:p>
    <w:p w:rsidR="00B867E0" w:rsidRDefault="00B867E0" w:rsidP="00B867E0">
      <w:pPr>
        <w:widowControl w:val="0"/>
        <w:jc w:val="center"/>
      </w:pPr>
      <w:r>
        <w:t>124th Session, 2021-2022</w:t>
      </w:r>
    </w:p>
    <w:p w:rsidR="00B867E0" w:rsidRDefault="00B867E0" w:rsidP="00B867E0">
      <w:pPr>
        <w:widowControl w:val="0"/>
        <w:jc w:val="left"/>
      </w:pPr>
    </w:p>
    <w:p w:rsidR="00B867E0" w:rsidRDefault="00B867E0" w:rsidP="00B867E0">
      <w:pPr>
        <w:widowControl w:val="0"/>
        <w:jc w:val="left"/>
        <w:rPr>
          <w:b/>
        </w:rPr>
      </w:pPr>
      <w:r w:rsidRPr="00B867E0">
        <w:rPr>
          <w:b/>
        </w:rPr>
        <w:t>H. 3240</w:t>
      </w:r>
    </w:p>
    <w:p w:rsidR="00B867E0" w:rsidRDefault="00B867E0" w:rsidP="00B867E0">
      <w:pPr>
        <w:widowControl w:val="0"/>
        <w:jc w:val="left"/>
        <w:rPr>
          <w:b/>
        </w:rPr>
      </w:pPr>
    </w:p>
    <w:p w:rsidR="00B867E0" w:rsidRDefault="00B867E0" w:rsidP="00B867E0">
      <w:pPr>
        <w:widowControl w:val="0"/>
        <w:jc w:val="left"/>
      </w:pPr>
      <w:r w:rsidRPr="00B867E0">
        <w:rPr>
          <w:b/>
        </w:rPr>
        <w:t>STATUS INFORMATION</w:t>
      </w:r>
    </w:p>
    <w:p w:rsidR="00B867E0" w:rsidRDefault="00B867E0" w:rsidP="00B867E0">
      <w:pPr>
        <w:widowControl w:val="0"/>
        <w:jc w:val="left"/>
      </w:pPr>
    </w:p>
    <w:p w:rsidR="00B867E0" w:rsidRDefault="00B867E0" w:rsidP="00B867E0">
      <w:pPr>
        <w:widowControl w:val="0"/>
        <w:jc w:val="left"/>
      </w:pPr>
      <w:r>
        <w:t>Joint Resolution</w:t>
      </w:r>
    </w:p>
    <w:p w:rsidR="00B867E0" w:rsidRDefault="00AD009A" w:rsidP="00B867E0">
      <w:pPr>
        <w:widowControl w:val="0"/>
        <w:jc w:val="left"/>
      </w:pPr>
      <w:r>
        <w:t>Sponsors: Reps. Collins and Allison</w:t>
      </w:r>
    </w:p>
    <w:p w:rsidR="00B867E0" w:rsidRDefault="00B867E0" w:rsidP="00B867E0">
      <w:pPr>
        <w:widowControl w:val="0"/>
        <w:jc w:val="left"/>
      </w:pPr>
      <w:r>
        <w:t>Document Path: l:\council\bills\agm\19838wab21.docx</w:t>
      </w:r>
    </w:p>
    <w:p w:rsidR="00B867E0" w:rsidRDefault="00B867E0" w:rsidP="00B867E0">
      <w:pPr>
        <w:widowControl w:val="0"/>
        <w:jc w:val="left"/>
      </w:pPr>
    </w:p>
    <w:p w:rsidR="007F18E2" w:rsidRDefault="007F18E2" w:rsidP="00B867E0">
      <w:pPr>
        <w:widowControl w:val="0"/>
        <w:jc w:val="left"/>
      </w:pPr>
      <w:r>
        <w:t>Introduced in the House on January 12, 2021</w:t>
      </w:r>
    </w:p>
    <w:p w:rsidR="007F18E2" w:rsidRPr="007F18E2" w:rsidRDefault="007F18E2" w:rsidP="00B867E0">
      <w:pPr>
        <w:widowControl w:val="0"/>
        <w:jc w:val="left"/>
      </w:pPr>
      <w:r>
        <w:t xml:space="preserve">Currently residing in the House Committee on </w:t>
      </w:r>
      <w:r w:rsidRPr="007F18E2">
        <w:rPr>
          <w:b/>
        </w:rPr>
        <w:t>Education and Public Works</w:t>
      </w:r>
    </w:p>
    <w:p w:rsidR="007F18E2" w:rsidRDefault="007F18E2" w:rsidP="00B867E0">
      <w:pPr>
        <w:widowControl w:val="0"/>
        <w:jc w:val="left"/>
      </w:pPr>
    </w:p>
    <w:p w:rsidR="00B867E0" w:rsidRDefault="000F176C" w:rsidP="00B867E0">
      <w:pPr>
        <w:widowControl w:val="0"/>
        <w:jc w:val="left"/>
      </w:pPr>
      <w:r>
        <w:t>Summary: Educational and learning outcomes for different racial and ethnic student groups in public schools</w:t>
      </w:r>
    </w:p>
    <w:p w:rsidR="00B867E0" w:rsidRDefault="00B867E0" w:rsidP="00B867E0">
      <w:pPr>
        <w:widowControl w:val="0"/>
        <w:jc w:val="left"/>
      </w:pPr>
    </w:p>
    <w:p w:rsidR="00B867E0" w:rsidRDefault="00B867E0" w:rsidP="00B867E0">
      <w:pPr>
        <w:widowControl w:val="0"/>
        <w:jc w:val="left"/>
      </w:pPr>
    </w:p>
    <w:p w:rsidR="00B867E0" w:rsidRDefault="00B867E0" w:rsidP="00B867E0">
      <w:pPr>
        <w:widowControl w:val="0"/>
        <w:tabs>
          <w:tab w:val="center" w:pos="590"/>
          <w:tab w:val="center" w:pos="1440"/>
          <w:tab w:val="left" w:pos="1872"/>
          <w:tab w:val="left" w:pos="9187"/>
        </w:tabs>
        <w:jc w:val="left"/>
      </w:pPr>
      <w:r w:rsidRPr="00B867E0">
        <w:rPr>
          <w:b/>
        </w:rPr>
        <w:t>HISTORY OF LEGISLATIVE ACTIONS</w:t>
      </w:r>
    </w:p>
    <w:p w:rsidR="00B867E0" w:rsidRDefault="00B867E0" w:rsidP="00B867E0">
      <w:pPr>
        <w:widowControl w:val="0"/>
        <w:tabs>
          <w:tab w:val="center" w:pos="590"/>
          <w:tab w:val="center" w:pos="1440"/>
          <w:tab w:val="left" w:pos="1872"/>
          <w:tab w:val="left" w:pos="9187"/>
        </w:tabs>
        <w:jc w:val="left"/>
      </w:pPr>
    </w:p>
    <w:p w:rsidR="00B867E0" w:rsidRPr="00B867E0" w:rsidRDefault="00B867E0" w:rsidP="00B867E0">
      <w:pPr>
        <w:widowControl w:val="0"/>
        <w:tabs>
          <w:tab w:val="center" w:pos="590"/>
          <w:tab w:val="center" w:pos="1440"/>
          <w:tab w:val="left" w:pos="1872"/>
          <w:tab w:val="left" w:pos="9187"/>
        </w:tabs>
        <w:jc w:val="left"/>
      </w:pPr>
      <w:r w:rsidRPr="00B867E0">
        <w:rPr>
          <w:u w:val="single"/>
        </w:rPr>
        <w:tab/>
        <w:t>Date</w:t>
      </w:r>
      <w:r w:rsidRPr="00B867E0">
        <w:rPr>
          <w:u w:val="single"/>
        </w:rPr>
        <w:tab/>
        <w:t>Body</w:t>
      </w:r>
      <w:r w:rsidRPr="00B867E0">
        <w:rPr>
          <w:u w:val="single"/>
        </w:rPr>
        <w:tab/>
        <w:t>Action Description with journal page number</w:t>
      </w:r>
      <w:r w:rsidRPr="00B867E0">
        <w:rPr>
          <w:u w:val="single"/>
        </w:rPr>
        <w:tab/>
      </w:r>
    </w:p>
    <w:p w:rsidR="00C24A73" w:rsidRDefault="00C24A73" w:rsidP="00C24A73">
      <w:pPr>
        <w:widowControl w:val="0"/>
        <w:tabs>
          <w:tab w:val="right" w:pos="1008"/>
          <w:tab w:val="left" w:pos="1152"/>
          <w:tab w:val="left" w:pos="1872"/>
          <w:tab w:val="left" w:pos="9187"/>
        </w:tabs>
        <w:ind w:left="2088" w:hanging="2088"/>
      </w:pPr>
      <w:r>
        <w:tab/>
        <w:t>12/9/2020</w:t>
      </w:r>
      <w:r>
        <w:tab/>
        <w:t>House</w:t>
      </w:r>
      <w:r>
        <w:tab/>
        <w:t>Prefiled</w:t>
      </w:r>
    </w:p>
    <w:p w:rsidR="00C24A73" w:rsidRDefault="00C24A73" w:rsidP="00C24A73">
      <w:pPr>
        <w:widowControl w:val="0"/>
        <w:tabs>
          <w:tab w:val="right" w:pos="1008"/>
          <w:tab w:val="left" w:pos="1152"/>
          <w:tab w:val="left" w:pos="1872"/>
          <w:tab w:val="left" w:pos="9187"/>
        </w:tabs>
        <w:ind w:left="2088" w:hanging="2088"/>
      </w:pPr>
      <w:r>
        <w:tab/>
        <w:t>12/9/2020</w:t>
      </w:r>
      <w:r>
        <w:tab/>
        <w:t>House</w:t>
      </w:r>
      <w:r>
        <w:tab/>
        <w:t xml:space="preserve">Referred to Committee on </w:t>
      </w:r>
      <w:r w:rsidRPr="00762844">
        <w:rPr>
          <w:b/>
        </w:rPr>
        <w:t>Education and Public Works</w:t>
      </w:r>
    </w:p>
    <w:p w:rsidR="00C24A73" w:rsidRDefault="00C24A73" w:rsidP="00C24A73">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762844">
          <w:rPr>
            <w:rStyle w:val="Hyperlink"/>
          </w:rPr>
          <w:t>House Journal</w:t>
        </w:r>
        <w:r w:rsidRPr="00762844">
          <w:rPr>
            <w:rStyle w:val="Hyperlink"/>
          </w:rPr>
          <w:noBreakHyphen/>
          <w:t>page 126</w:t>
        </w:r>
      </w:hyperlink>
      <w:r>
        <w:t>)</w:t>
      </w:r>
    </w:p>
    <w:p w:rsidR="00C24A73" w:rsidRDefault="00C24A73" w:rsidP="00C24A73">
      <w:pPr>
        <w:widowControl w:val="0"/>
        <w:tabs>
          <w:tab w:val="right" w:pos="1008"/>
          <w:tab w:val="left" w:pos="1152"/>
          <w:tab w:val="left" w:pos="1872"/>
          <w:tab w:val="left" w:pos="9187"/>
        </w:tabs>
        <w:ind w:left="2088" w:hanging="2088"/>
      </w:pPr>
      <w:r>
        <w:tab/>
        <w:t>1/12/2021</w:t>
      </w:r>
      <w:r>
        <w:tab/>
        <w:t>House</w:t>
      </w:r>
      <w:r>
        <w:tab/>
        <w:t xml:space="preserve">Referred to Committee on </w:t>
      </w:r>
      <w:r w:rsidRPr="00762844">
        <w:rPr>
          <w:b/>
        </w:rPr>
        <w:t>Education and Public Works</w:t>
      </w:r>
      <w:r>
        <w:t xml:space="preserve"> (</w:t>
      </w:r>
      <w:hyperlink r:id="rId8" w:history="1">
        <w:r w:rsidRPr="00762844">
          <w:rPr>
            <w:rStyle w:val="Hyperlink"/>
          </w:rPr>
          <w:t>House Journal</w:t>
        </w:r>
        <w:r w:rsidRPr="00762844">
          <w:rPr>
            <w:rStyle w:val="Hyperlink"/>
          </w:rPr>
          <w:noBreakHyphen/>
          <w:t>page 126</w:t>
        </w:r>
      </w:hyperlink>
      <w:r>
        <w:t>)</w:t>
      </w:r>
    </w:p>
    <w:p w:rsidR="00C24A73" w:rsidRDefault="00C24A73" w:rsidP="00C24A73">
      <w:pPr>
        <w:widowControl w:val="0"/>
        <w:tabs>
          <w:tab w:val="right" w:pos="1008"/>
          <w:tab w:val="left" w:pos="1152"/>
          <w:tab w:val="left" w:pos="1872"/>
          <w:tab w:val="left" w:pos="9187"/>
        </w:tabs>
        <w:ind w:left="2088" w:hanging="2088"/>
      </w:pPr>
    </w:p>
    <w:p w:rsidR="00B867E0" w:rsidRDefault="00B867E0" w:rsidP="00B867E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867E0">
          <w:rPr>
            <w:rStyle w:val="Hyperlink"/>
          </w:rPr>
          <w:t>legislative information</w:t>
        </w:r>
      </w:hyperlink>
      <w:r>
        <w:t xml:space="preserve"> at the website</w:t>
      </w:r>
    </w:p>
    <w:p w:rsidR="00B867E0" w:rsidRDefault="00B867E0" w:rsidP="00B867E0">
      <w:pPr>
        <w:widowControl w:val="0"/>
        <w:tabs>
          <w:tab w:val="right" w:pos="1008"/>
          <w:tab w:val="left" w:pos="1152"/>
          <w:tab w:val="left" w:pos="1872"/>
          <w:tab w:val="left" w:pos="9187"/>
        </w:tabs>
        <w:ind w:left="2088" w:hanging="2088"/>
        <w:jc w:val="left"/>
      </w:pPr>
    </w:p>
    <w:p w:rsidR="00B867E0" w:rsidRPr="00B867E0" w:rsidRDefault="00B867E0" w:rsidP="00B867E0">
      <w:pPr>
        <w:widowControl w:val="0"/>
        <w:tabs>
          <w:tab w:val="right" w:pos="1008"/>
          <w:tab w:val="left" w:pos="1152"/>
          <w:tab w:val="left" w:pos="1872"/>
          <w:tab w:val="left" w:pos="9187"/>
        </w:tabs>
        <w:ind w:left="2088" w:hanging="2088"/>
        <w:jc w:val="left"/>
      </w:pPr>
    </w:p>
    <w:p w:rsidR="00B867E0" w:rsidRDefault="00B867E0" w:rsidP="00B867E0">
      <w:pPr>
        <w:widowControl w:val="0"/>
        <w:jc w:val="left"/>
      </w:pPr>
      <w:r w:rsidRPr="00B867E0">
        <w:rPr>
          <w:b/>
        </w:rPr>
        <w:t>VERSIONS OF THIS BILL</w:t>
      </w:r>
    </w:p>
    <w:p w:rsidR="00B867E0" w:rsidRDefault="00B867E0" w:rsidP="00B867E0">
      <w:pPr>
        <w:widowControl w:val="0"/>
        <w:jc w:val="left"/>
      </w:pPr>
    </w:p>
    <w:p w:rsidR="00B867E0" w:rsidRDefault="003705BF" w:rsidP="00B867E0">
      <w:pPr>
        <w:widowControl w:val="0"/>
        <w:jc w:val="left"/>
      </w:pPr>
      <w:hyperlink r:id="rId10" w:history="1">
        <w:r w:rsidR="00B867E0">
          <w:rPr>
            <w:rStyle w:val="Hyperlink"/>
          </w:rPr>
          <w:t>12/9/2020</w:t>
        </w:r>
      </w:hyperlink>
    </w:p>
    <w:p w:rsidR="00B867E0" w:rsidRDefault="00B867E0" w:rsidP="00B867E0"/>
    <w:p w:rsidR="00B867E0" w:rsidRDefault="00B867E0" w:rsidP="00B867E0">
      <w:pPr>
        <w:sectPr w:rsidR="00B867E0" w:rsidSect="00B867E0">
          <w:pgSz w:w="12240" w:h="15840" w:code="1"/>
          <w:pgMar w:top="1080" w:right="1440" w:bottom="1080" w:left="1440" w:header="720" w:footer="720" w:gutter="0"/>
          <w:cols w:space="720"/>
          <w:noEndnote/>
          <w:docGrid w:linePitch="360"/>
        </w:sectPr>
      </w:pPr>
    </w:p>
    <w:p w:rsidR="005B6F71" w:rsidRDefault="005B6F71" w:rsidP="00061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3A7" w:rsidRDefault="000613A7" w:rsidP="00061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3A7" w:rsidRDefault="000613A7" w:rsidP="00061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3A7" w:rsidRDefault="000613A7" w:rsidP="00061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3A7" w:rsidRDefault="000613A7" w:rsidP="00061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3A7" w:rsidRDefault="000613A7" w:rsidP="00061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3A7" w:rsidRDefault="000613A7" w:rsidP="00061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6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40C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A50E0">
        <w:rPr>
          <w:color w:val="000000" w:themeColor="text1"/>
          <w:u w:color="000000" w:themeColor="text1"/>
        </w:rPr>
        <w:t>TO CREATE A STUDY COMMITTEE TO EXAMINE TRENDS AND CURRENT CONDITIONS IN EDUCATION</w:t>
      </w:r>
      <w:r w:rsidR="006B5446">
        <w:rPr>
          <w:color w:val="000000" w:themeColor="text1"/>
          <w:u w:color="000000" w:themeColor="text1"/>
        </w:rPr>
        <w:t>AL</w:t>
      </w:r>
      <w:r w:rsidRPr="00EA50E0">
        <w:rPr>
          <w:color w:val="000000" w:themeColor="text1"/>
          <w:u w:color="000000" w:themeColor="text1"/>
        </w:rPr>
        <w:t xml:space="preserve"> ACTIVITIES AND LEARNING OUTCOMES FOR DIFFERENT RACIAL AND ETHNIC STUDENT GROUPS IN THE PUBLIC SCHOOLS OF THIS STATE, TO IDENTIFY AND RECOMMEND MEANS FOR IMPROVING OUTCOMES FOR THOSE GROUPS, AND TO MAKE RELATED RECOMMENDATIONS TO THE GENERAL ASSEMBLY BEFORE JANUARY 1, 2022.</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40C1" w:rsidRDefault="00D740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40C1" w:rsidRDefault="00D740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8B1" w:rsidRPr="00EA50E0" w:rsidRDefault="00D740C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368B1">
        <w:rPr>
          <w:color w:val="000000" w:themeColor="text1"/>
          <w:u w:color="000000" w:themeColor="text1"/>
        </w:rPr>
        <w:t>(A)</w:t>
      </w:r>
      <w:r w:rsidR="007368B1">
        <w:rPr>
          <w:color w:val="000000" w:themeColor="text1"/>
          <w:u w:color="000000" w:themeColor="text1"/>
        </w:rPr>
        <w:tab/>
      </w:r>
      <w:r w:rsidR="007368B1" w:rsidRPr="00EA50E0">
        <w:rPr>
          <w:color w:val="000000" w:themeColor="text1"/>
          <w:u w:color="000000" w:themeColor="text1"/>
        </w:rPr>
        <w:t>There is created a study committee to examine trends and current conditions in education</w:t>
      </w:r>
      <w:r w:rsidR="00CB0559">
        <w:rPr>
          <w:color w:val="000000" w:themeColor="text1"/>
          <w:u w:color="000000" w:themeColor="text1"/>
        </w:rPr>
        <w:t>al</w:t>
      </w:r>
      <w:r w:rsidR="007368B1" w:rsidRPr="00EA50E0">
        <w:rPr>
          <w:color w:val="000000" w:themeColor="text1"/>
          <w:u w:color="000000" w:themeColor="text1"/>
        </w:rPr>
        <w:t xml:space="preserve"> activities and learning outcomes for different racial and ethnic student groups in this State, and to identify means for successfully improving such outcomes.</w:t>
      </w: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A50E0">
        <w:rPr>
          <w:color w:val="000000" w:themeColor="text1"/>
          <w:u w:color="000000" w:themeColor="text1"/>
        </w:rPr>
        <w:t>(B)(1)The study committee shall:</w:t>
      </w: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A50E0">
        <w:rPr>
          <w:color w:val="000000" w:themeColor="text1"/>
          <w:u w:color="000000" w:themeColor="text1"/>
        </w:rPr>
        <w:tab/>
      </w:r>
      <w:r w:rsidRPr="00EA50E0">
        <w:rPr>
          <w:color w:val="000000" w:themeColor="text1"/>
          <w:u w:color="000000" w:themeColor="text1"/>
        </w:rPr>
        <w:tab/>
        <w:t>(a)</w:t>
      </w:r>
      <w:r>
        <w:rPr>
          <w:color w:val="000000" w:themeColor="text1"/>
          <w:u w:color="000000" w:themeColor="text1"/>
        </w:rPr>
        <w:tab/>
      </w:r>
      <w:r w:rsidRPr="00EA50E0">
        <w:rPr>
          <w:color w:val="000000" w:themeColor="text1"/>
          <w:u w:color="000000" w:themeColor="text1"/>
        </w:rPr>
        <w:t>identify gaps in achievement and opportunity among different racial and ethnic student groups in the public schools of this State and recommend initiatives to close or eliminate the gaps; and</w:t>
      </w: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0E0">
        <w:rPr>
          <w:color w:val="000000" w:themeColor="text1"/>
          <w:u w:color="000000" w:themeColor="text1"/>
        </w:rPr>
        <w:tab/>
      </w:r>
      <w:r w:rsidRPr="00EA50E0">
        <w:rPr>
          <w:color w:val="000000" w:themeColor="text1"/>
          <w:u w:color="000000" w:themeColor="text1"/>
        </w:rPr>
        <w:tab/>
      </w:r>
      <w:r>
        <w:rPr>
          <w:color w:val="000000" w:themeColor="text1"/>
          <w:u w:color="000000" w:themeColor="text1"/>
        </w:rPr>
        <w:tab/>
      </w:r>
      <w:r w:rsidRPr="00EA50E0">
        <w:rPr>
          <w:color w:val="000000" w:themeColor="text1"/>
          <w:u w:color="000000" w:themeColor="text1"/>
        </w:rPr>
        <w:t>(b)</w:t>
      </w:r>
      <w:r>
        <w:rPr>
          <w:color w:val="000000" w:themeColor="text1"/>
          <w:u w:color="000000" w:themeColor="text1"/>
        </w:rPr>
        <w:tab/>
        <w:t>provide an</w:t>
      </w:r>
      <w:r w:rsidRPr="00EA50E0">
        <w:rPr>
          <w:color w:val="000000" w:themeColor="text1"/>
          <w:u w:color="000000" w:themeColor="text1"/>
        </w:rPr>
        <w:t xml:space="preserve"> analysis </w:t>
      </w:r>
      <w:r>
        <w:rPr>
          <w:color w:val="000000" w:themeColor="text1"/>
          <w:u w:color="000000" w:themeColor="text1"/>
        </w:rPr>
        <w:t>to</w:t>
      </w:r>
      <w:r w:rsidRPr="00EA50E0">
        <w:rPr>
          <w:color w:val="000000" w:themeColor="text1"/>
          <w:u w:color="000000" w:themeColor="text1"/>
        </w:rPr>
        <w:t xml:space="preserve"> identify gaps among students who live in poverty, students with disabilities, and other students.</w:t>
      </w: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0E0">
        <w:rPr>
          <w:color w:val="000000" w:themeColor="text1"/>
          <w:u w:color="000000" w:themeColor="text1"/>
        </w:rPr>
        <w:tab/>
      </w:r>
      <w:r>
        <w:rPr>
          <w:color w:val="000000" w:themeColor="text1"/>
          <w:u w:color="000000" w:themeColor="text1"/>
        </w:rPr>
        <w:tab/>
      </w:r>
      <w:r w:rsidRPr="00EA50E0">
        <w:rPr>
          <w:color w:val="000000" w:themeColor="text1"/>
          <w:u w:color="000000" w:themeColor="text1"/>
        </w:rPr>
        <w:t>(2)</w:t>
      </w:r>
      <w:r>
        <w:rPr>
          <w:color w:val="000000" w:themeColor="text1"/>
          <w:u w:color="000000" w:themeColor="text1"/>
        </w:rPr>
        <w:tab/>
      </w:r>
      <w:r w:rsidRPr="00EA50E0">
        <w:rPr>
          <w:color w:val="000000" w:themeColor="text1"/>
          <w:u w:color="000000" w:themeColor="text1"/>
        </w:rPr>
        <w:t>In conducting its study, the study group shall:</w:t>
      </w: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0E0">
        <w:rPr>
          <w:color w:val="000000" w:themeColor="text1"/>
          <w:u w:color="000000" w:themeColor="text1"/>
        </w:rPr>
        <w:tab/>
      </w:r>
      <w:r w:rsidRPr="00EA50E0">
        <w:rPr>
          <w:color w:val="000000" w:themeColor="text1"/>
          <w:u w:color="000000" w:themeColor="text1"/>
        </w:rPr>
        <w:tab/>
      </w:r>
      <w:r>
        <w:rPr>
          <w:color w:val="000000" w:themeColor="text1"/>
          <w:u w:color="000000" w:themeColor="text1"/>
        </w:rPr>
        <w:tab/>
      </w:r>
      <w:r w:rsidRPr="00EA50E0">
        <w:rPr>
          <w:color w:val="000000" w:themeColor="text1"/>
          <w:u w:color="000000" w:themeColor="text1"/>
        </w:rPr>
        <w:t>(a)</w:t>
      </w:r>
      <w:r>
        <w:rPr>
          <w:color w:val="000000" w:themeColor="text1"/>
          <w:u w:color="000000" w:themeColor="text1"/>
        </w:rPr>
        <w:tab/>
      </w:r>
      <w:r w:rsidRPr="00EA50E0">
        <w:rPr>
          <w:color w:val="000000" w:themeColor="text1"/>
          <w:u w:color="000000" w:themeColor="text1"/>
        </w:rPr>
        <w:t>consider the chronology of an individual student</w:t>
      </w:r>
      <w:r w:rsidRPr="007368B1">
        <w:rPr>
          <w:color w:val="000000" w:themeColor="text1"/>
          <w:u w:color="000000" w:themeColor="text1"/>
        </w:rPr>
        <w:t>’</w:t>
      </w:r>
      <w:r w:rsidRPr="00EA50E0">
        <w:rPr>
          <w:color w:val="000000" w:themeColor="text1"/>
          <w:u w:color="000000" w:themeColor="text1"/>
        </w:rPr>
        <w:t>s education using existing data provided by the Revenue and Fiscal Affairs Office, Children</w:t>
      </w:r>
      <w:r w:rsidRPr="007368B1">
        <w:rPr>
          <w:color w:val="000000" w:themeColor="text1"/>
          <w:u w:color="000000" w:themeColor="text1"/>
        </w:rPr>
        <w:t>’</w:t>
      </w:r>
      <w:r w:rsidRPr="00EA50E0">
        <w:rPr>
          <w:color w:val="000000" w:themeColor="text1"/>
          <w:u w:color="000000" w:themeColor="text1"/>
        </w:rPr>
        <w:t>s Trust</w:t>
      </w:r>
      <w:r w:rsidR="00CB0559">
        <w:rPr>
          <w:color w:val="000000" w:themeColor="text1"/>
          <w:u w:color="000000" w:themeColor="text1"/>
        </w:rPr>
        <w:t xml:space="preserve"> of South Carolina</w:t>
      </w:r>
      <w:r w:rsidRPr="00EA50E0">
        <w:rPr>
          <w:color w:val="000000" w:themeColor="text1"/>
          <w:u w:color="000000" w:themeColor="text1"/>
        </w:rPr>
        <w:t xml:space="preserve">, the Office of First Steps to School Readiness, the Education Oversight Committee, the South Carolina Department of Education, and the Commission on Higher Education; </w:t>
      </w: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0E0">
        <w:rPr>
          <w:color w:val="000000" w:themeColor="text1"/>
          <w:u w:color="000000" w:themeColor="text1"/>
        </w:rPr>
        <w:tab/>
      </w:r>
      <w:r>
        <w:rPr>
          <w:color w:val="000000" w:themeColor="text1"/>
          <w:u w:color="000000" w:themeColor="text1"/>
        </w:rPr>
        <w:tab/>
      </w:r>
      <w:r w:rsidRPr="00EA50E0">
        <w:rPr>
          <w:color w:val="000000" w:themeColor="text1"/>
          <w:u w:color="000000" w:themeColor="text1"/>
        </w:rPr>
        <w:tab/>
        <w:t>(b)</w:t>
      </w:r>
      <w:r>
        <w:rPr>
          <w:color w:val="000000" w:themeColor="text1"/>
          <w:u w:color="000000" w:themeColor="text1"/>
        </w:rPr>
        <w:tab/>
      </w:r>
      <w:r w:rsidRPr="00EA50E0">
        <w:rPr>
          <w:color w:val="000000" w:themeColor="text1"/>
          <w:u w:color="000000" w:themeColor="text1"/>
        </w:rPr>
        <w:t>focus its analysis on:</w:t>
      </w: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0E0">
        <w:rPr>
          <w:color w:val="000000" w:themeColor="text1"/>
          <w:u w:color="000000" w:themeColor="text1"/>
        </w:rPr>
        <w:lastRenderedPageBreak/>
        <w:tab/>
      </w:r>
      <w:r w:rsidRPr="00EA50E0">
        <w:rPr>
          <w:color w:val="000000" w:themeColor="text1"/>
          <w:u w:color="000000" w:themeColor="text1"/>
        </w:rPr>
        <w:tab/>
      </w:r>
      <w:r>
        <w:rPr>
          <w:color w:val="000000" w:themeColor="text1"/>
          <w:u w:color="000000" w:themeColor="text1"/>
        </w:rPr>
        <w:tab/>
      </w:r>
      <w:r w:rsidRPr="00EA50E0">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EA50E0">
        <w:rPr>
          <w:color w:val="000000" w:themeColor="text1"/>
          <w:u w:color="000000" w:themeColor="text1"/>
        </w:rPr>
        <w:t>early childhood education, including access to early childcare and readiness for kindergarten;</w:t>
      </w: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0E0">
        <w:rPr>
          <w:color w:val="000000" w:themeColor="text1"/>
          <w:u w:color="000000" w:themeColor="text1"/>
        </w:rPr>
        <w:tab/>
      </w:r>
      <w:r w:rsidRPr="00EA50E0">
        <w:rPr>
          <w:color w:val="000000" w:themeColor="text1"/>
          <w:u w:color="000000" w:themeColor="text1"/>
        </w:rPr>
        <w:tab/>
      </w:r>
      <w:r>
        <w:rPr>
          <w:color w:val="000000" w:themeColor="text1"/>
          <w:u w:color="000000" w:themeColor="text1"/>
        </w:rPr>
        <w:tab/>
      </w:r>
      <w:r w:rsidRPr="00EA50E0">
        <w:rPr>
          <w:color w:val="000000" w:themeColor="text1"/>
          <w:u w:color="000000" w:themeColor="text1"/>
        </w:rPr>
        <w:tab/>
        <w:t>(ii)</w:t>
      </w:r>
      <w:r>
        <w:rPr>
          <w:color w:val="000000" w:themeColor="text1"/>
          <w:u w:color="000000" w:themeColor="text1"/>
        </w:rPr>
        <w:tab/>
      </w:r>
      <w:r w:rsidRPr="00EA50E0">
        <w:rPr>
          <w:color w:val="000000" w:themeColor="text1"/>
          <w:u w:color="000000" w:themeColor="text1"/>
        </w:rPr>
        <w:t>academic performance in public schools, including reading and mathematics achievement in third grade through eighth grade, absenteeism rates, suspension and expulsion rates, dropout rates, high</w:t>
      </w:r>
      <w:r>
        <w:rPr>
          <w:color w:val="000000" w:themeColor="text1"/>
          <w:u w:color="000000" w:themeColor="text1"/>
        </w:rPr>
        <w:t xml:space="preserve"> </w:t>
      </w:r>
      <w:r w:rsidRPr="00EA50E0">
        <w:rPr>
          <w:color w:val="000000" w:themeColor="text1"/>
          <w:u w:color="000000" w:themeColor="text1"/>
        </w:rPr>
        <w:t>school course taking, high school completion rates, college readiness scores on the ACT and SAT, and career readiness scores on the Ready to Work (R2W); and</w:t>
      </w: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0E0">
        <w:rPr>
          <w:color w:val="000000" w:themeColor="text1"/>
          <w:u w:color="000000" w:themeColor="text1"/>
        </w:rPr>
        <w:tab/>
      </w:r>
      <w:r w:rsidRPr="00EA50E0">
        <w:rPr>
          <w:color w:val="000000" w:themeColor="text1"/>
          <w:u w:color="000000" w:themeColor="text1"/>
        </w:rPr>
        <w:tab/>
      </w:r>
      <w:r w:rsidRPr="00EA50E0">
        <w:rPr>
          <w:color w:val="000000" w:themeColor="text1"/>
          <w:u w:color="000000" w:themeColor="text1"/>
        </w:rPr>
        <w:tab/>
      </w:r>
      <w:r>
        <w:rPr>
          <w:color w:val="000000" w:themeColor="text1"/>
          <w:u w:color="000000" w:themeColor="text1"/>
        </w:rPr>
        <w:tab/>
      </w:r>
      <w:r w:rsidRPr="00EA50E0">
        <w:rPr>
          <w:color w:val="000000" w:themeColor="text1"/>
          <w:u w:color="000000" w:themeColor="text1"/>
        </w:rPr>
        <w:t>(iii)</w:t>
      </w:r>
      <w:r>
        <w:rPr>
          <w:color w:val="000000" w:themeColor="text1"/>
          <w:u w:color="000000" w:themeColor="text1"/>
        </w:rPr>
        <w:tab/>
      </w:r>
      <w:r w:rsidRPr="00EA50E0">
        <w:rPr>
          <w:color w:val="000000" w:themeColor="text1"/>
          <w:u w:color="000000" w:themeColor="text1"/>
        </w:rPr>
        <w:t>postsecondary education, including an analysis of college participation, undergraduate enrollment, six</w:t>
      </w:r>
      <w:r>
        <w:rPr>
          <w:color w:val="000000" w:themeColor="text1"/>
          <w:u w:color="000000" w:themeColor="text1"/>
        </w:rPr>
        <w:noBreakHyphen/>
      </w:r>
      <w:r w:rsidRPr="00EA50E0">
        <w:rPr>
          <w:color w:val="000000" w:themeColor="text1"/>
          <w:u w:color="000000" w:themeColor="text1"/>
        </w:rPr>
        <w:t xml:space="preserve">year college graduation rates; and financial aid. </w:t>
      </w: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A50E0">
        <w:rPr>
          <w:color w:val="000000" w:themeColor="text1"/>
          <w:u w:color="000000" w:themeColor="text1"/>
        </w:rPr>
        <w:t>(C)(1)</w:t>
      </w:r>
      <w:r w:rsidRPr="00EA50E0">
        <w:rPr>
          <w:color w:val="000000" w:themeColor="text1"/>
          <w:u w:color="000000" w:themeColor="text1"/>
        </w:rPr>
        <w:tab/>
        <w:t xml:space="preserve">The study committee is composed of </w:t>
      </w:r>
      <w:r w:rsidR="005453F2">
        <w:rPr>
          <w:color w:val="000000" w:themeColor="text1"/>
          <w:u w:color="000000" w:themeColor="text1"/>
        </w:rPr>
        <w:t>eleven</w:t>
      </w:r>
      <w:r w:rsidRPr="00EA50E0">
        <w:rPr>
          <w:color w:val="000000" w:themeColor="text1"/>
          <w:u w:color="000000" w:themeColor="text1"/>
        </w:rPr>
        <w:t xml:space="preserve"> members, consisting of:</w:t>
      </w: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0E0">
        <w:rPr>
          <w:color w:val="000000" w:themeColor="text1"/>
          <w:u w:color="000000" w:themeColor="text1"/>
        </w:rPr>
        <w:tab/>
      </w:r>
      <w:r w:rsidRPr="00EA50E0">
        <w:rPr>
          <w:color w:val="000000" w:themeColor="text1"/>
          <w:u w:color="000000" w:themeColor="text1"/>
        </w:rPr>
        <w:tab/>
      </w:r>
      <w:r w:rsidRPr="00EA50E0">
        <w:rPr>
          <w:color w:val="000000" w:themeColor="text1"/>
          <w:u w:color="000000" w:themeColor="text1"/>
        </w:rPr>
        <w:tab/>
        <w:t>(a)</w:t>
      </w:r>
      <w:r w:rsidRPr="00EA50E0">
        <w:rPr>
          <w:color w:val="000000" w:themeColor="text1"/>
          <w:u w:color="000000" w:themeColor="text1"/>
        </w:rPr>
        <w:tab/>
        <w:t>four public school teachers with experience in teaching diverse student classrooms, students with disabilities, and students who live in poverty:</w:t>
      </w: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EA50E0">
        <w:rPr>
          <w:color w:val="000000" w:themeColor="text1"/>
          <w:u w:color="000000" w:themeColor="text1"/>
        </w:rPr>
        <w:t>one member appointed by the Chair of the Senate Education Committee;</w:t>
      </w: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0E0">
        <w:rPr>
          <w:color w:val="000000" w:themeColor="text1"/>
          <w:u w:color="000000" w:themeColor="text1"/>
        </w:rPr>
        <w:tab/>
      </w:r>
      <w:r w:rsidRPr="00EA50E0">
        <w:rPr>
          <w:color w:val="000000" w:themeColor="text1"/>
          <w:u w:color="000000" w:themeColor="text1"/>
        </w:rPr>
        <w:tab/>
      </w:r>
      <w:r w:rsidRPr="00EA50E0">
        <w:rPr>
          <w:color w:val="000000" w:themeColor="text1"/>
          <w:u w:color="000000" w:themeColor="text1"/>
        </w:rPr>
        <w:tab/>
      </w:r>
      <w:r w:rsidRPr="00EA50E0">
        <w:rPr>
          <w:color w:val="000000" w:themeColor="text1"/>
          <w:u w:color="000000" w:themeColor="text1"/>
        </w:rPr>
        <w:tab/>
        <w:t>(ii)</w:t>
      </w:r>
      <w:r w:rsidRPr="00EA50E0">
        <w:rPr>
          <w:color w:val="000000" w:themeColor="text1"/>
          <w:u w:color="000000" w:themeColor="text1"/>
        </w:rPr>
        <w:tab/>
        <w:t>one member appointed by the Chair of the House Education and Public Works Committee;</w:t>
      </w: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0E0">
        <w:rPr>
          <w:color w:val="000000" w:themeColor="text1"/>
          <w:u w:color="000000" w:themeColor="text1"/>
        </w:rPr>
        <w:tab/>
      </w:r>
      <w:r w:rsidRPr="00EA50E0">
        <w:rPr>
          <w:color w:val="000000" w:themeColor="text1"/>
          <w:u w:color="000000" w:themeColor="text1"/>
        </w:rPr>
        <w:tab/>
      </w:r>
      <w:r w:rsidRPr="00EA50E0">
        <w:rPr>
          <w:color w:val="000000" w:themeColor="text1"/>
          <w:u w:color="000000" w:themeColor="text1"/>
        </w:rPr>
        <w:tab/>
      </w:r>
      <w:r w:rsidRPr="00EA50E0">
        <w:rPr>
          <w:color w:val="000000" w:themeColor="text1"/>
          <w:u w:color="000000" w:themeColor="text1"/>
        </w:rPr>
        <w:tab/>
        <w:t>(iii)</w:t>
      </w:r>
      <w:r w:rsidRPr="00EA50E0">
        <w:rPr>
          <w:color w:val="000000" w:themeColor="text1"/>
          <w:u w:color="000000" w:themeColor="text1"/>
        </w:rPr>
        <w:tab/>
        <w:t>one member appointed by the President of the Senate; and</w:t>
      </w:r>
    </w:p>
    <w:p w:rsidR="007368B1"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0E0">
        <w:rPr>
          <w:color w:val="000000" w:themeColor="text1"/>
          <w:u w:color="000000" w:themeColor="text1"/>
        </w:rPr>
        <w:tab/>
      </w:r>
      <w:r w:rsidRPr="00EA50E0">
        <w:rPr>
          <w:color w:val="000000" w:themeColor="text1"/>
          <w:u w:color="000000" w:themeColor="text1"/>
        </w:rPr>
        <w:tab/>
      </w:r>
      <w:r w:rsidRPr="00EA50E0">
        <w:rPr>
          <w:color w:val="000000" w:themeColor="text1"/>
          <w:u w:color="000000" w:themeColor="text1"/>
        </w:rPr>
        <w:tab/>
      </w:r>
      <w:r w:rsidRPr="00EA50E0">
        <w:rPr>
          <w:color w:val="000000" w:themeColor="text1"/>
          <w:u w:color="000000" w:themeColor="text1"/>
        </w:rPr>
        <w:tab/>
        <w:t>(iv)</w:t>
      </w:r>
      <w:r w:rsidRPr="00EA50E0">
        <w:rPr>
          <w:color w:val="000000" w:themeColor="text1"/>
          <w:u w:color="000000" w:themeColor="text1"/>
        </w:rPr>
        <w:tab/>
        <w:t>one member appointed by the Speaker of the House;</w:t>
      </w:r>
    </w:p>
    <w:p w:rsidR="007306E5" w:rsidRDefault="007306E5"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one member of the Senate appointed by the Chair of the Senate Education Committee;</w:t>
      </w:r>
    </w:p>
    <w:p w:rsidR="007368B1" w:rsidRPr="00EA50E0" w:rsidRDefault="007306E5"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 xml:space="preserve">one member of the House of Representatives </w:t>
      </w:r>
      <w:r w:rsidR="001F6FE5">
        <w:rPr>
          <w:color w:val="000000" w:themeColor="text1"/>
        </w:rPr>
        <w:t>appointed by the Chair of the House Education and Public Works Committee;</w:t>
      </w:r>
      <w:r w:rsidR="007368B1" w:rsidRPr="00EA50E0">
        <w:rPr>
          <w:color w:val="000000" w:themeColor="text1"/>
          <w:u w:color="000000" w:themeColor="text1"/>
        </w:rPr>
        <w:tab/>
      </w:r>
      <w:r w:rsidR="007368B1" w:rsidRPr="00EA50E0">
        <w:rPr>
          <w:color w:val="000000" w:themeColor="text1"/>
          <w:u w:color="000000" w:themeColor="text1"/>
        </w:rPr>
        <w:tab/>
      </w:r>
      <w:r w:rsidR="007368B1" w:rsidRPr="00EA50E0">
        <w:rPr>
          <w:color w:val="000000" w:themeColor="text1"/>
          <w:u w:color="000000" w:themeColor="text1"/>
        </w:rPr>
        <w:tab/>
        <w:t>(</w:t>
      </w:r>
      <w:r>
        <w:rPr>
          <w:color w:val="000000" w:themeColor="text1"/>
          <w:u w:color="000000" w:themeColor="text1"/>
        </w:rPr>
        <w:t>d</w:t>
      </w:r>
      <w:r w:rsidR="007368B1" w:rsidRPr="00EA50E0">
        <w:rPr>
          <w:color w:val="000000" w:themeColor="text1"/>
          <w:u w:color="000000" w:themeColor="text1"/>
        </w:rPr>
        <w:t>)</w:t>
      </w:r>
      <w:r w:rsidR="007368B1" w:rsidRPr="00EA50E0">
        <w:rPr>
          <w:color w:val="000000" w:themeColor="text1"/>
          <w:u w:color="000000" w:themeColor="text1"/>
        </w:rPr>
        <w:tab/>
        <w:t>two early childhood education, elementary education, or secondary education scholars or faculty members from institutions of higher learning in this State who have research and teaching experience in understanding trends and conditions in education activities and outcomes for different racial and ethnic groups in this State, students with disabilities, and students who live in poverty; and</w:t>
      </w: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0E0">
        <w:rPr>
          <w:color w:val="000000" w:themeColor="text1"/>
          <w:u w:color="000000" w:themeColor="text1"/>
        </w:rPr>
        <w:tab/>
      </w:r>
      <w:r w:rsidRPr="00EA50E0">
        <w:rPr>
          <w:color w:val="000000" w:themeColor="text1"/>
          <w:u w:color="000000" w:themeColor="text1"/>
        </w:rPr>
        <w:tab/>
      </w:r>
      <w:r w:rsidRPr="00EA50E0">
        <w:rPr>
          <w:color w:val="000000" w:themeColor="text1"/>
          <w:u w:color="000000" w:themeColor="text1"/>
        </w:rPr>
        <w:tab/>
        <w:t>(</w:t>
      </w:r>
      <w:r w:rsidR="007306E5">
        <w:rPr>
          <w:color w:val="000000" w:themeColor="text1"/>
          <w:u w:color="000000" w:themeColor="text1"/>
        </w:rPr>
        <w:t>d</w:t>
      </w:r>
      <w:r w:rsidRPr="00EA50E0">
        <w:rPr>
          <w:color w:val="000000" w:themeColor="text1"/>
          <w:u w:color="000000" w:themeColor="text1"/>
        </w:rPr>
        <w:t>)</w:t>
      </w:r>
      <w:r w:rsidRPr="00EA50E0">
        <w:rPr>
          <w:color w:val="000000" w:themeColor="text1"/>
          <w:u w:color="000000" w:themeColor="text1"/>
        </w:rPr>
        <w:tab/>
        <w:t xml:space="preserve">three parents of public school students appointed by the Governor. </w:t>
      </w: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0E0">
        <w:rPr>
          <w:color w:val="000000" w:themeColor="text1"/>
          <w:u w:color="000000" w:themeColor="text1"/>
        </w:rPr>
        <w:tab/>
      </w:r>
      <w:r w:rsidRPr="00EA50E0">
        <w:rPr>
          <w:color w:val="000000" w:themeColor="text1"/>
          <w:u w:color="000000" w:themeColor="text1"/>
        </w:rPr>
        <w:tab/>
        <w:t>(2)</w:t>
      </w:r>
      <w:r w:rsidRPr="00EA50E0">
        <w:rPr>
          <w:color w:val="000000" w:themeColor="text1"/>
          <w:u w:color="000000" w:themeColor="text1"/>
        </w:rPr>
        <w:tab/>
        <w:t>In making appointments to the study committee, consideration should be given to ensure the inclusion of diverse racial, ethnic, and economic perspectives representing districts throughout the State.</w:t>
      </w: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0E0">
        <w:rPr>
          <w:color w:val="000000" w:themeColor="text1"/>
          <w:u w:color="000000" w:themeColor="text1"/>
        </w:rPr>
        <w:tab/>
      </w:r>
      <w:r w:rsidRPr="00EA50E0">
        <w:rPr>
          <w:color w:val="000000" w:themeColor="text1"/>
          <w:u w:color="000000" w:themeColor="text1"/>
        </w:rPr>
        <w:tab/>
        <w:t>(3)</w:t>
      </w:r>
      <w:r w:rsidRPr="00EA50E0">
        <w:rPr>
          <w:color w:val="000000" w:themeColor="text1"/>
          <w:u w:color="000000" w:themeColor="text1"/>
        </w:rPr>
        <w:tab/>
        <w:t>A vacancy in the membership of the study committee must be filled in the manner of original appointment.</w:t>
      </w: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0E0">
        <w:rPr>
          <w:color w:val="000000" w:themeColor="text1"/>
          <w:u w:color="000000" w:themeColor="text1"/>
        </w:rPr>
        <w:tab/>
      </w:r>
      <w:r w:rsidRPr="00EA50E0">
        <w:rPr>
          <w:color w:val="000000" w:themeColor="text1"/>
          <w:u w:color="000000" w:themeColor="text1"/>
        </w:rPr>
        <w:tab/>
        <w:t>(4)</w:t>
      </w:r>
      <w:r w:rsidRPr="00EA50E0">
        <w:rPr>
          <w:color w:val="000000" w:themeColor="text1"/>
          <w:u w:color="000000" w:themeColor="text1"/>
        </w:rPr>
        <w:tab/>
        <w:t>Members of the committee shall serve without per diem, mileage, or other compensation generally provided to members of boards and commissions.</w:t>
      </w: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0E0">
        <w:rPr>
          <w:color w:val="000000" w:themeColor="text1"/>
          <w:u w:color="000000" w:themeColor="text1"/>
        </w:rPr>
        <w:tab/>
        <w:t>(D)</w:t>
      </w:r>
      <w:r w:rsidRPr="00EA50E0">
        <w:rPr>
          <w:color w:val="000000" w:themeColor="text1"/>
          <w:u w:color="000000" w:themeColor="text1"/>
        </w:rPr>
        <w:tab/>
        <w:t>The Senate Education Committee and the House Education and Public Works Committee shall provide appropriate staffing for the study committee.</w:t>
      </w: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0E0">
        <w:rPr>
          <w:color w:val="000000" w:themeColor="text1"/>
          <w:u w:color="000000" w:themeColor="text1"/>
        </w:rPr>
        <w:tab/>
        <w:t>(E)</w:t>
      </w:r>
      <w:r w:rsidRPr="00EA50E0">
        <w:rPr>
          <w:color w:val="000000" w:themeColor="text1"/>
          <w:u w:color="000000" w:themeColor="text1"/>
        </w:rPr>
        <w:tab/>
        <w:t>The study committee shall provide a report with recommendations to the General Assembly before January 1, 2022. The study committee shall dissolve upon providing its report to the General Assembly or on January 1, 2022, whichever occurs first.</w:t>
      </w:r>
    </w:p>
    <w:p w:rsidR="007368B1" w:rsidRPr="00EA50E0"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40C1" w:rsidRDefault="007368B1" w:rsidP="0073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50E0">
        <w:rPr>
          <w:color w:val="000000" w:themeColor="text1"/>
          <w:u w:color="000000" w:themeColor="text1"/>
        </w:rPr>
        <w:t>SECTION</w:t>
      </w:r>
      <w:r w:rsidRPr="00EA50E0">
        <w:rPr>
          <w:color w:val="000000" w:themeColor="text1"/>
          <w:u w:color="000000" w:themeColor="text1"/>
        </w:rPr>
        <w:tab/>
        <w:t>2.</w:t>
      </w:r>
      <w:r w:rsidRPr="00EA50E0">
        <w:rPr>
          <w:color w:val="000000" w:themeColor="text1"/>
          <w:u w:color="000000" w:themeColor="text1"/>
        </w:rPr>
        <w:tab/>
        <w:t>This joint resolution takes effect upon approval by the Governor.</w:t>
      </w:r>
    </w:p>
    <w:p w:rsidR="001751AF" w:rsidRDefault="007368B1" w:rsidP="00E4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67E0" w:rsidRDefault="00B867E0" w:rsidP="00B867E0">
      <w:pPr>
        <w:suppressAutoHyphens/>
      </w:pPr>
    </w:p>
    <w:sectPr w:rsidR="00B867E0" w:rsidSect="00B867E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40C1" w:rsidRDefault="00D740C1" w:rsidP="009F0C77">
      <w:r>
        <w:separator/>
      </w:r>
    </w:p>
  </w:endnote>
  <w:endnote w:type="continuationSeparator" w:id="0">
    <w:p w:rsidR="00D740C1" w:rsidRDefault="00D740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8F49149-E2D9-426E-AD2C-9D0E0A8C4F5E}"/>
    <w:embedBold r:id="rId2" w:fontKey="{13AC7704-C2FA-4A01-9D1A-FF74B4DD2D83}"/>
  </w:font>
  <w:font w:name="Calibri">
    <w:panose1 w:val="020F0502020204030204"/>
    <w:charset w:val="00"/>
    <w:family w:val="swiss"/>
    <w:pitch w:val="variable"/>
    <w:sig w:usb0="E0002EFF" w:usb1="C000247B" w:usb2="00000009" w:usb3="00000000" w:csb0="000001FF" w:csb1="00000000"/>
    <w:embedRegular r:id="rId3" w:fontKey="{3C19E3C4-5201-46E9-A8DF-7F39068FDF94}"/>
  </w:font>
  <w:font w:name="Segoe UI">
    <w:panose1 w:val="020B0502040204020203"/>
    <w:charset w:val="00"/>
    <w:family w:val="swiss"/>
    <w:pitch w:val="variable"/>
    <w:sig w:usb0="E4002EFF" w:usb1="C000E47F" w:usb2="00000009" w:usb3="00000000" w:csb0="000001FF" w:csb1="00000000"/>
    <w:embedRegular r:id="rId4" w:fontKey="{38F966D4-DD89-4E80-8AD8-4ED5402C6FF9}"/>
  </w:font>
  <w:font w:name="Cambria">
    <w:panose1 w:val="02040503050406030204"/>
    <w:charset w:val="00"/>
    <w:family w:val="roman"/>
    <w:pitch w:val="variable"/>
    <w:sig w:usb0="E00006FF" w:usb1="420024FF" w:usb2="02000000" w:usb3="00000000" w:csb0="0000019F" w:csb1="00000000"/>
    <w:embedRegular r:id="rId5" w:fontKey="{ADEF1072-A523-4DE1-AAE3-99625B1490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7E0" w:rsidRPr="005B6F71" w:rsidRDefault="00B867E0" w:rsidP="005B6F71">
    <w:pPr>
      <w:pStyle w:val="Footer"/>
      <w:tabs>
        <w:tab w:val="clear" w:pos="4680"/>
        <w:tab w:val="clear" w:pos="9360"/>
        <w:tab w:val="center" w:pos="2995"/>
      </w:tabs>
      <w:spacing w:before="120"/>
    </w:pPr>
    <w:r>
      <w:t>[3240]</w:t>
    </w:r>
    <w:r>
      <w:tab/>
    </w:r>
    <w:r>
      <w:fldChar w:fldCharType="begin"/>
    </w:r>
    <w:r>
      <w:instrText xml:space="preserve"> PAGE  \* MERGEFORMAT </w:instrText>
    </w:r>
    <w:r>
      <w:fldChar w:fldCharType="separate"/>
    </w:r>
    <w:r w:rsidR="00C24A7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40C1" w:rsidRDefault="00D740C1" w:rsidP="009F0C77">
      <w:r>
        <w:separator/>
      </w:r>
    </w:p>
  </w:footnote>
  <w:footnote w:type="continuationSeparator" w:id="0">
    <w:p w:rsidR="00D740C1" w:rsidRDefault="00D740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38WAB21"/>
    <w:docVar w:name="CoverBillType" w:val="j"/>
    <w:docVar w:name="DocPath" w:val="L:\Council\bills\AGM\19838WAB21.DOCX"/>
    <w:docVar w:name="dvBillNumber" w:val="3240"/>
    <w:docVar w:name="dvBillNumberPrefix" w:val="H. "/>
    <w:docVar w:name="dvOriginalBody" w:val="House"/>
    <w:docVar w:name="dvSteno" w:val="AGM"/>
    <w:docVar w:name="NameofBody" w:val="h"/>
    <w:docVar w:name="vGroup2" w:val="Council"/>
  </w:docVars>
  <w:rsids>
    <w:rsidRoot w:val="00D740C1"/>
    <w:rsid w:val="00011869"/>
    <w:rsid w:val="00015CD6"/>
    <w:rsid w:val="000613A7"/>
    <w:rsid w:val="00062953"/>
    <w:rsid w:val="000859CC"/>
    <w:rsid w:val="000E0100"/>
    <w:rsid w:val="000E1785"/>
    <w:rsid w:val="000F176C"/>
    <w:rsid w:val="000F40FA"/>
    <w:rsid w:val="001035F1"/>
    <w:rsid w:val="0010776B"/>
    <w:rsid w:val="00133E66"/>
    <w:rsid w:val="001435A3"/>
    <w:rsid w:val="00146ED3"/>
    <w:rsid w:val="00151044"/>
    <w:rsid w:val="001751AF"/>
    <w:rsid w:val="001D08F2"/>
    <w:rsid w:val="001D3A58"/>
    <w:rsid w:val="001D525B"/>
    <w:rsid w:val="001D7F4F"/>
    <w:rsid w:val="001F6FE5"/>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0E8D"/>
    <w:rsid w:val="005273C6"/>
    <w:rsid w:val="00530A69"/>
    <w:rsid w:val="005453F2"/>
    <w:rsid w:val="00545593"/>
    <w:rsid w:val="00556EBF"/>
    <w:rsid w:val="00577C6C"/>
    <w:rsid w:val="005A62FE"/>
    <w:rsid w:val="005B6F71"/>
    <w:rsid w:val="005C2FE2"/>
    <w:rsid w:val="005E2BC9"/>
    <w:rsid w:val="00605102"/>
    <w:rsid w:val="006215AA"/>
    <w:rsid w:val="006913C9"/>
    <w:rsid w:val="0069470D"/>
    <w:rsid w:val="006B5446"/>
    <w:rsid w:val="006C3044"/>
    <w:rsid w:val="006D58AA"/>
    <w:rsid w:val="007306E5"/>
    <w:rsid w:val="00734F00"/>
    <w:rsid w:val="007368B1"/>
    <w:rsid w:val="00736959"/>
    <w:rsid w:val="007A70AE"/>
    <w:rsid w:val="007F18E2"/>
    <w:rsid w:val="008362E8"/>
    <w:rsid w:val="0085786E"/>
    <w:rsid w:val="008A1768"/>
    <w:rsid w:val="008A489F"/>
    <w:rsid w:val="008F0F33"/>
    <w:rsid w:val="008F4429"/>
    <w:rsid w:val="0094021A"/>
    <w:rsid w:val="0095309D"/>
    <w:rsid w:val="009A0DC8"/>
    <w:rsid w:val="009B44AF"/>
    <w:rsid w:val="009C6A0B"/>
    <w:rsid w:val="009F0C77"/>
    <w:rsid w:val="009F4DD1"/>
    <w:rsid w:val="00A02543"/>
    <w:rsid w:val="00A41684"/>
    <w:rsid w:val="00A64E80"/>
    <w:rsid w:val="00A72BCD"/>
    <w:rsid w:val="00A741D9"/>
    <w:rsid w:val="00A833AB"/>
    <w:rsid w:val="00A9741D"/>
    <w:rsid w:val="00AC34A2"/>
    <w:rsid w:val="00AD009A"/>
    <w:rsid w:val="00AD1C9A"/>
    <w:rsid w:val="00AD4B17"/>
    <w:rsid w:val="00B22258"/>
    <w:rsid w:val="00B412D4"/>
    <w:rsid w:val="00B64FFF"/>
    <w:rsid w:val="00B867E0"/>
    <w:rsid w:val="00BE3C22"/>
    <w:rsid w:val="00C0345E"/>
    <w:rsid w:val="00C21ABE"/>
    <w:rsid w:val="00C24A73"/>
    <w:rsid w:val="00C31C95"/>
    <w:rsid w:val="00C3483A"/>
    <w:rsid w:val="00C74E9D"/>
    <w:rsid w:val="00C826DD"/>
    <w:rsid w:val="00C82FD3"/>
    <w:rsid w:val="00C92819"/>
    <w:rsid w:val="00CB0559"/>
    <w:rsid w:val="00CC6B7B"/>
    <w:rsid w:val="00CD2089"/>
    <w:rsid w:val="00D73A67"/>
    <w:rsid w:val="00D740C1"/>
    <w:rsid w:val="00D970A9"/>
    <w:rsid w:val="00DF3845"/>
    <w:rsid w:val="00E41911"/>
    <w:rsid w:val="00E444EC"/>
    <w:rsid w:val="00E44B57"/>
    <w:rsid w:val="00E92EEF"/>
    <w:rsid w:val="00EF2368"/>
    <w:rsid w:val="00F13A96"/>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1422BF-F834-49FD-80C5-648074EE1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68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8B1"/>
    <w:rPr>
      <w:rFonts w:ascii="Segoe UI" w:eastAsia="Times New Roman" w:hAnsi="Segoe UI" w:cs="Segoe UI"/>
      <w:sz w:val="18"/>
      <w:szCs w:val="18"/>
    </w:rPr>
  </w:style>
  <w:style w:type="character" w:styleId="Hyperlink">
    <w:name w:val="Hyperlink"/>
    <w:basedOn w:val="DefaultParagraphFont"/>
    <w:uiPriority w:val="99"/>
    <w:unhideWhenUsed/>
    <w:rsid w:val="00B867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4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4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55590-25CF-45D4-9428-6BA08184E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806</Words>
  <Characters>4600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3240: Subject not yet available - South Carolina Legislature Online</dc:title>
  <dc:creator>Angie Morgan</dc:creator>
  <cp:lastModifiedBy>S Wilson</cp:lastModifiedBy>
  <cp:revision>2</cp:revision>
  <cp:lastPrinted>2020-12-08T18:29:00Z</cp:lastPrinted>
  <dcterms:created xsi:type="dcterms:W3CDTF">2021-01-26T14:30:00Z</dcterms:created>
  <dcterms:modified xsi:type="dcterms:W3CDTF">2021-01-26T14:30:00Z</dcterms:modified>
</cp:coreProperties>
</file>