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F55E2" w:rsidRDefault="005F55E2" w:rsidP="005F55E2">
      <w:pPr>
        <w:widowControl w:val="0"/>
        <w:jc w:val="center"/>
      </w:pPr>
      <w:r w:rsidRPr="005F55E2">
        <w:rPr>
          <w:b/>
        </w:rPr>
        <w:t>South Carolina General Assembly</w:t>
      </w:r>
    </w:p>
    <w:p w:rsidR="005F55E2" w:rsidRDefault="005F55E2" w:rsidP="005F55E2">
      <w:pPr>
        <w:widowControl w:val="0"/>
        <w:jc w:val="center"/>
      </w:pPr>
      <w:r>
        <w:t>124th Session, 2021-2022</w:t>
      </w:r>
    </w:p>
    <w:p w:rsidR="005F55E2" w:rsidRDefault="005F55E2" w:rsidP="005F55E2">
      <w:pPr>
        <w:widowControl w:val="0"/>
        <w:jc w:val="left"/>
      </w:pPr>
    </w:p>
    <w:p w:rsidR="005F55E2" w:rsidRDefault="005F55E2" w:rsidP="005F55E2">
      <w:pPr>
        <w:widowControl w:val="0"/>
        <w:jc w:val="left"/>
        <w:rPr>
          <w:b/>
        </w:rPr>
      </w:pPr>
      <w:r w:rsidRPr="005F55E2">
        <w:rPr>
          <w:b/>
        </w:rPr>
        <w:t>H. 3252</w:t>
      </w:r>
    </w:p>
    <w:p w:rsidR="005F55E2" w:rsidRDefault="005F55E2" w:rsidP="005F55E2">
      <w:pPr>
        <w:widowControl w:val="0"/>
        <w:jc w:val="left"/>
        <w:rPr>
          <w:b/>
        </w:rPr>
      </w:pPr>
    </w:p>
    <w:p w:rsidR="005F55E2" w:rsidRDefault="005F55E2" w:rsidP="005F55E2">
      <w:pPr>
        <w:widowControl w:val="0"/>
        <w:jc w:val="left"/>
      </w:pPr>
      <w:r w:rsidRPr="005F55E2">
        <w:rPr>
          <w:b/>
        </w:rPr>
        <w:t>STATUS INFORMATION</w:t>
      </w:r>
    </w:p>
    <w:p w:rsidR="005F55E2" w:rsidRDefault="005F55E2" w:rsidP="005F55E2">
      <w:pPr>
        <w:widowControl w:val="0"/>
        <w:jc w:val="left"/>
      </w:pPr>
    </w:p>
    <w:p w:rsidR="005F55E2" w:rsidRDefault="005F55E2" w:rsidP="005F55E2">
      <w:pPr>
        <w:widowControl w:val="0"/>
        <w:jc w:val="left"/>
      </w:pPr>
      <w:r>
        <w:t>General Bill</w:t>
      </w:r>
    </w:p>
    <w:p w:rsidR="005F55E2" w:rsidRDefault="00D01A9F" w:rsidP="005F55E2">
      <w:pPr>
        <w:widowControl w:val="0"/>
        <w:jc w:val="left"/>
      </w:pPr>
      <w:r>
        <w:t>Sponsors: Reps. White, Blackwell, Whitmire, W. Cox, McGarry and B. Newton</w:t>
      </w:r>
    </w:p>
    <w:p w:rsidR="005F55E2" w:rsidRDefault="005F55E2" w:rsidP="005F55E2">
      <w:pPr>
        <w:widowControl w:val="0"/>
        <w:jc w:val="left"/>
      </w:pPr>
      <w:r>
        <w:t>Document Path: l:\council\bills\nbd\11042dg21.docx</w:t>
      </w:r>
    </w:p>
    <w:p w:rsidR="005F55E2" w:rsidRDefault="005F55E2" w:rsidP="005F55E2">
      <w:pPr>
        <w:widowControl w:val="0"/>
        <w:jc w:val="left"/>
      </w:pPr>
    </w:p>
    <w:p w:rsidR="00E9714A" w:rsidRDefault="00E9714A" w:rsidP="005F55E2">
      <w:pPr>
        <w:widowControl w:val="0"/>
        <w:jc w:val="left"/>
      </w:pPr>
      <w:r>
        <w:t>Introduced in the House on January 12, 2021</w:t>
      </w:r>
    </w:p>
    <w:p w:rsidR="00E9714A" w:rsidRDefault="00E9714A" w:rsidP="005F55E2">
      <w:pPr>
        <w:widowControl w:val="0"/>
        <w:jc w:val="left"/>
      </w:pPr>
      <w:r>
        <w:t>Introduced in the Senate on April 7, 2022</w:t>
      </w:r>
    </w:p>
    <w:p w:rsidR="00E9714A" w:rsidRDefault="00E9714A" w:rsidP="005F55E2">
      <w:pPr>
        <w:widowControl w:val="0"/>
        <w:jc w:val="left"/>
      </w:pPr>
      <w:r>
        <w:t>Last Amended on April 6, 2022</w:t>
      </w:r>
    </w:p>
    <w:p w:rsidR="00E9714A" w:rsidRPr="00E9714A" w:rsidRDefault="00E9714A" w:rsidP="005F55E2">
      <w:pPr>
        <w:widowControl w:val="0"/>
        <w:jc w:val="left"/>
      </w:pPr>
      <w:r>
        <w:t xml:space="preserve">Currently residing in the Senate Committee on </w:t>
      </w:r>
      <w:r w:rsidRPr="00E9714A">
        <w:rPr>
          <w:b/>
        </w:rPr>
        <w:t>Finance</w:t>
      </w:r>
    </w:p>
    <w:p w:rsidR="00E9714A" w:rsidRDefault="00E9714A" w:rsidP="005F55E2">
      <w:pPr>
        <w:widowControl w:val="0"/>
        <w:jc w:val="left"/>
      </w:pPr>
    </w:p>
    <w:p w:rsidR="005F55E2" w:rsidRDefault="00C1403D" w:rsidP="005F55E2">
      <w:pPr>
        <w:widowControl w:val="0"/>
        <w:jc w:val="left"/>
      </w:pPr>
      <w:r>
        <w:t>Summary: V-SAFE Program</w:t>
      </w:r>
    </w:p>
    <w:p w:rsidR="005F55E2" w:rsidRDefault="005F55E2" w:rsidP="005F55E2">
      <w:pPr>
        <w:widowControl w:val="0"/>
        <w:jc w:val="left"/>
      </w:pPr>
    </w:p>
    <w:p w:rsidR="005F55E2" w:rsidRDefault="005F55E2" w:rsidP="005F55E2">
      <w:pPr>
        <w:widowControl w:val="0"/>
        <w:jc w:val="left"/>
      </w:pPr>
    </w:p>
    <w:p w:rsidR="005F55E2" w:rsidRDefault="005F55E2" w:rsidP="005F55E2">
      <w:pPr>
        <w:widowControl w:val="0"/>
        <w:tabs>
          <w:tab w:val="center" w:pos="590"/>
          <w:tab w:val="center" w:pos="1440"/>
          <w:tab w:val="left" w:pos="1872"/>
          <w:tab w:val="left" w:pos="9187"/>
        </w:tabs>
        <w:jc w:val="left"/>
      </w:pPr>
      <w:r w:rsidRPr="005F55E2">
        <w:rPr>
          <w:b/>
        </w:rPr>
        <w:t>HISTORY OF LEGISLATIVE ACTIONS</w:t>
      </w:r>
    </w:p>
    <w:p w:rsidR="005F55E2" w:rsidRDefault="005F55E2" w:rsidP="005F55E2">
      <w:pPr>
        <w:widowControl w:val="0"/>
        <w:tabs>
          <w:tab w:val="center" w:pos="590"/>
          <w:tab w:val="center" w:pos="1440"/>
          <w:tab w:val="left" w:pos="1872"/>
          <w:tab w:val="left" w:pos="9187"/>
        </w:tabs>
        <w:jc w:val="left"/>
      </w:pPr>
    </w:p>
    <w:p w:rsidR="005F55E2" w:rsidRPr="005F55E2" w:rsidRDefault="005F55E2" w:rsidP="005F55E2">
      <w:pPr>
        <w:widowControl w:val="0"/>
        <w:tabs>
          <w:tab w:val="center" w:pos="590"/>
          <w:tab w:val="center" w:pos="1440"/>
          <w:tab w:val="left" w:pos="1872"/>
          <w:tab w:val="left" w:pos="9187"/>
        </w:tabs>
        <w:jc w:val="left"/>
      </w:pPr>
      <w:r w:rsidRPr="005F55E2">
        <w:rPr>
          <w:u w:val="single"/>
        </w:rPr>
        <w:tab/>
        <w:t>Date</w:t>
      </w:r>
      <w:r w:rsidRPr="005F55E2">
        <w:rPr>
          <w:u w:val="single"/>
        </w:rPr>
        <w:tab/>
        <w:t>Body</w:t>
      </w:r>
      <w:r w:rsidRPr="005F55E2">
        <w:rPr>
          <w:u w:val="single"/>
        </w:rPr>
        <w:tab/>
        <w:t>Action Description with journal page number</w:t>
      </w:r>
      <w:r w:rsidRPr="005F55E2">
        <w:rPr>
          <w:u w:val="single"/>
        </w:rPr>
        <w:tab/>
      </w:r>
    </w:p>
    <w:p w:rsidR="00915AB7" w:rsidRDefault="00915AB7" w:rsidP="00915AB7">
      <w:pPr>
        <w:widowControl w:val="0"/>
        <w:tabs>
          <w:tab w:val="right" w:pos="1008"/>
          <w:tab w:val="left" w:pos="1152"/>
          <w:tab w:val="left" w:pos="1872"/>
          <w:tab w:val="left" w:pos="9187"/>
        </w:tabs>
        <w:ind w:left="2088" w:hanging="2088"/>
      </w:pPr>
      <w:r>
        <w:tab/>
        <w:t>12/9/2020</w:t>
      </w:r>
      <w:r>
        <w:tab/>
        <w:t>House</w:t>
      </w:r>
      <w:r>
        <w:tab/>
        <w:t>Prefiled</w:t>
      </w:r>
    </w:p>
    <w:p w:rsidR="00915AB7" w:rsidRDefault="00915AB7" w:rsidP="00915AB7">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A1304">
        <w:rPr>
          <w:b/>
        </w:rPr>
        <w:t>Labor, Commerce and Industry</w:t>
      </w:r>
    </w:p>
    <w:p w:rsidR="00915AB7" w:rsidRDefault="00915AB7" w:rsidP="00915AB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A1304">
          <w:rPr>
            <w:rStyle w:val="Hyperlink"/>
          </w:rPr>
          <w:t>House Journal</w:t>
        </w:r>
        <w:r w:rsidRPr="007A1304">
          <w:rPr>
            <w:rStyle w:val="Hyperlink"/>
          </w:rPr>
          <w:noBreakHyphen/>
          <w:t>page 132</w:t>
        </w:r>
      </w:hyperlink>
      <w:r>
        <w:t>)</w:t>
      </w:r>
    </w:p>
    <w:p w:rsidR="00915AB7" w:rsidRDefault="00915AB7" w:rsidP="00915AB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A1304">
        <w:rPr>
          <w:b/>
        </w:rPr>
        <w:t>Labor, Commerce and Industry</w:t>
      </w:r>
      <w:r>
        <w:t xml:space="preserve"> (</w:t>
      </w:r>
      <w:hyperlink r:id="rId8" w:history="1">
        <w:r w:rsidRPr="007A1304">
          <w:rPr>
            <w:rStyle w:val="Hyperlink"/>
          </w:rPr>
          <w:t>House Journal</w:t>
        </w:r>
        <w:r w:rsidRPr="007A1304">
          <w:rPr>
            <w:rStyle w:val="Hyperlink"/>
          </w:rPr>
          <w:noBreakHyphen/>
          <w:t>page 132</w:t>
        </w:r>
      </w:hyperlink>
      <w:r>
        <w:t>)</w:t>
      </w:r>
    </w:p>
    <w:p w:rsidR="00915AB7" w:rsidRDefault="00915AB7" w:rsidP="00915AB7">
      <w:pPr>
        <w:widowControl w:val="0"/>
        <w:tabs>
          <w:tab w:val="right" w:pos="1008"/>
          <w:tab w:val="left" w:pos="1152"/>
          <w:tab w:val="left" w:pos="1872"/>
          <w:tab w:val="left" w:pos="9187"/>
        </w:tabs>
        <w:ind w:left="2088" w:hanging="2088"/>
      </w:pPr>
      <w:r>
        <w:tab/>
        <w:t>1/26/2022</w:t>
      </w:r>
      <w:r>
        <w:tab/>
      </w:r>
      <w:r>
        <w:tab/>
        <w:t>Scrivener's error corrected</w:t>
      </w:r>
    </w:p>
    <w:p w:rsidR="00915AB7" w:rsidRDefault="00915AB7" w:rsidP="00915AB7">
      <w:pPr>
        <w:widowControl w:val="0"/>
        <w:tabs>
          <w:tab w:val="right" w:pos="1008"/>
          <w:tab w:val="left" w:pos="1152"/>
          <w:tab w:val="left" w:pos="1872"/>
          <w:tab w:val="left" w:pos="9187"/>
        </w:tabs>
        <w:ind w:left="2088" w:hanging="2088"/>
      </w:pPr>
      <w:r>
        <w:tab/>
        <w:t>3/30/2022</w:t>
      </w:r>
      <w:r>
        <w:tab/>
        <w:t>House</w:t>
      </w:r>
      <w:r>
        <w:tab/>
        <w:t>Member(s) request name added as sponsor: Blackwell</w:t>
      </w:r>
    </w:p>
    <w:p w:rsidR="00915AB7" w:rsidRDefault="00915AB7" w:rsidP="00915AB7">
      <w:pPr>
        <w:widowControl w:val="0"/>
        <w:tabs>
          <w:tab w:val="right" w:pos="1008"/>
          <w:tab w:val="left" w:pos="1152"/>
          <w:tab w:val="left" w:pos="1872"/>
          <w:tab w:val="left" w:pos="9187"/>
        </w:tabs>
        <w:ind w:left="2088" w:hanging="2088"/>
      </w:pPr>
      <w:r>
        <w:tab/>
        <w:t>3/31/2022</w:t>
      </w:r>
      <w:r>
        <w:tab/>
        <w:t>House</w:t>
      </w:r>
      <w:r>
        <w:tab/>
        <w:t>Member(s) request name added as sponsor: Whitmire, W.Cox</w:t>
      </w:r>
    </w:p>
    <w:p w:rsidR="00915AB7" w:rsidRDefault="00915AB7" w:rsidP="00915AB7">
      <w:pPr>
        <w:widowControl w:val="0"/>
        <w:tabs>
          <w:tab w:val="right" w:pos="1008"/>
          <w:tab w:val="left" w:pos="1152"/>
          <w:tab w:val="left" w:pos="1872"/>
          <w:tab w:val="left" w:pos="9187"/>
        </w:tabs>
        <w:ind w:left="2088" w:hanging="2088"/>
      </w:pPr>
      <w:r>
        <w:tab/>
        <w:t>3/31/2022</w:t>
      </w:r>
      <w:r>
        <w:tab/>
        <w:t>House</w:t>
      </w:r>
      <w:r>
        <w:tab/>
        <w:t xml:space="preserve">Committee report: Favorable with amendment </w:t>
      </w:r>
      <w:r w:rsidRPr="007A1304">
        <w:rPr>
          <w:b/>
        </w:rPr>
        <w:t>Labor, Commerce and Industry</w:t>
      </w:r>
      <w:r>
        <w:t xml:space="preserve"> (</w:t>
      </w:r>
      <w:hyperlink r:id="rId9" w:history="1">
        <w:r w:rsidRPr="007A1304">
          <w:rPr>
            <w:rStyle w:val="Hyperlink"/>
          </w:rPr>
          <w:t>House Journal</w:t>
        </w:r>
        <w:r w:rsidRPr="007A1304">
          <w:rPr>
            <w:rStyle w:val="Hyperlink"/>
          </w:rPr>
          <w:noBreakHyphen/>
          <w:t>page 2</w:t>
        </w:r>
      </w:hyperlink>
      <w:r>
        <w:t>)</w:t>
      </w:r>
    </w:p>
    <w:p w:rsidR="00915AB7" w:rsidRDefault="00915AB7" w:rsidP="00915AB7">
      <w:pPr>
        <w:widowControl w:val="0"/>
        <w:tabs>
          <w:tab w:val="right" w:pos="1008"/>
          <w:tab w:val="left" w:pos="1152"/>
          <w:tab w:val="left" w:pos="1872"/>
          <w:tab w:val="left" w:pos="9187"/>
        </w:tabs>
        <w:ind w:left="2088" w:hanging="2088"/>
      </w:pPr>
      <w:r>
        <w:tab/>
        <w:t>4/5/2022</w:t>
      </w:r>
      <w:r>
        <w:tab/>
        <w:t>House</w:t>
      </w:r>
      <w:r>
        <w:tab/>
        <w:t>Requests for debate</w:t>
      </w:r>
      <w:r>
        <w:noBreakHyphen/>
        <w:t>Rep(s).  Bamberg, King, Brawley, Ott, Bernstien, Clyburn, Henegan, Pendarvis, Henderson</w:t>
      </w:r>
      <w:r>
        <w:noBreakHyphen/>
        <w:t>Myers (</w:t>
      </w:r>
      <w:hyperlink r:id="rId10" w:history="1">
        <w:r w:rsidRPr="007A1304">
          <w:rPr>
            <w:rStyle w:val="Hyperlink"/>
          </w:rPr>
          <w:t>House Journal</w:t>
        </w:r>
        <w:r w:rsidRPr="007A1304">
          <w:rPr>
            <w:rStyle w:val="Hyperlink"/>
          </w:rPr>
          <w:noBreakHyphen/>
          <w:t>page 9</w:t>
        </w:r>
      </w:hyperlink>
      <w:r>
        <w:t>)</w:t>
      </w:r>
    </w:p>
    <w:p w:rsidR="00915AB7" w:rsidRDefault="00915AB7" w:rsidP="00915AB7">
      <w:pPr>
        <w:widowControl w:val="0"/>
        <w:tabs>
          <w:tab w:val="right" w:pos="1008"/>
          <w:tab w:val="left" w:pos="1152"/>
          <w:tab w:val="left" w:pos="1872"/>
          <w:tab w:val="left" w:pos="9187"/>
        </w:tabs>
        <w:ind w:left="2088" w:hanging="2088"/>
      </w:pPr>
      <w:r>
        <w:tab/>
        <w:t>4/5/2022</w:t>
      </w:r>
      <w:r>
        <w:tab/>
      </w:r>
      <w:r>
        <w:tab/>
        <w:t>Scrivener's error corrected</w:t>
      </w:r>
    </w:p>
    <w:p w:rsidR="00915AB7" w:rsidRDefault="00915AB7" w:rsidP="00915AB7">
      <w:pPr>
        <w:widowControl w:val="0"/>
        <w:tabs>
          <w:tab w:val="right" w:pos="1008"/>
          <w:tab w:val="left" w:pos="1152"/>
          <w:tab w:val="left" w:pos="1872"/>
          <w:tab w:val="left" w:pos="9187"/>
        </w:tabs>
        <w:ind w:left="2088" w:hanging="2088"/>
      </w:pPr>
      <w:r>
        <w:tab/>
        <w:t>4/6/2022</w:t>
      </w:r>
      <w:r>
        <w:tab/>
        <w:t>House</w:t>
      </w:r>
      <w:r>
        <w:tab/>
        <w:t>Requests for debate removed</w:t>
      </w:r>
      <w:r>
        <w:noBreakHyphen/>
        <w:t>Rep(s).  Ott, Clyburn, Bamberg, Henegan, Henderson</w:t>
      </w:r>
      <w:r>
        <w:noBreakHyphen/>
        <w:t>Myers, King (</w:t>
      </w:r>
      <w:hyperlink r:id="rId11" w:history="1">
        <w:r w:rsidRPr="007A1304">
          <w:rPr>
            <w:rStyle w:val="Hyperlink"/>
          </w:rPr>
          <w:t>House Journal</w:t>
        </w:r>
        <w:r w:rsidRPr="007A1304">
          <w:rPr>
            <w:rStyle w:val="Hyperlink"/>
          </w:rPr>
          <w:noBreakHyphen/>
          <w:t>page 70</w:t>
        </w:r>
      </w:hyperlink>
      <w:r>
        <w:t>)</w:t>
      </w:r>
    </w:p>
    <w:p w:rsidR="00915AB7" w:rsidRDefault="00915AB7" w:rsidP="00915AB7">
      <w:pPr>
        <w:widowControl w:val="0"/>
        <w:tabs>
          <w:tab w:val="right" w:pos="1008"/>
          <w:tab w:val="left" w:pos="1152"/>
          <w:tab w:val="left" w:pos="1872"/>
          <w:tab w:val="left" w:pos="9187"/>
        </w:tabs>
        <w:ind w:left="2088" w:hanging="2088"/>
      </w:pPr>
      <w:r>
        <w:tab/>
        <w:t>4/6/2022</w:t>
      </w:r>
      <w:r>
        <w:tab/>
        <w:t>House</w:t>
      </w:r>
      <w:r>
        <w:tab/>
        <w:t>Member(s) request name added as sponsor: McGarry, B.Newton</w:t>
      </w:r>
    </w:p>
    <w:p w:rsidR="00915AB7" w:rsidRDefault="00915AB7" w:rsidP="00915AB7">
      <w:pPr>
        <w:widowControl w:val="0"/>
        <w:tabs>
          <w:tab w:val="right" w:pos="1008"/>
          <w:tab w:val="left" w:pos="1152"/>
          <w:tab w:val="left" w:pos="1872"/>
          <w:tab w:val="left" w:pos="9187"/>
        </w:tabs>
        <w:ind w:left="2088" w:hanging="2088"/>
      </w:pPr>
      <w:r>
        <w:tab/>
        <w:t>4/6/2022</w:t>
      </w:r>
      <w:r>
        <w:tab/>
        <w:t>House</w:t>
      </w:r>
      <w:r>
        <w:tab/>
        <w:t>Amended (</w:t>
      </w:r>
      <w:hyperlink r:id="rId12" w:history="1">
        <w:r w:rsidRPr="007A1304">
          <w:rPr>
            <w:rStyle w:val="Hyperlink"/>
          </w:rPr>
          <w:t>House Journal</w:t>
        </w:r>
        <w:r w:rsidRPr="007A1304">
          <w:rPr>
            <w:rStyle w:val="Hyperlink"/>
          </w:rPr>
          <w:noBreakHyphen/>
          <w:t>page 125</w:t>
        </w:r>
      </w:hyperlink>
      <w:r>
        <w:t>)</w:t>
      </w:r>
    </w:p>
    <w:p w:rsidR="00915AB7" w:rsidRDefault="00915AB7" w:rsidP="00915AB7">
      <w:pPr>
        <w:widowControl w:val="0"/>
        <w:tabs>
          <w:tab w:val="right" w:pos="1008"/>
          <w:tab w:val="left" w:pos="1152"/>
          <w:tab w:val="left" w:pos="1872"/>
          <w:tab w:val="left" w:pos="9187"/>
        </w:tabs>
        <w:ind w:left="2088" w:hanging="2088"/>
      </w:pPr>
      <w:r>
        <w:tab/>
        <w:t>4/6/2022</w:t>
      </w:r>
      <w:r>
        <w:tab/>
        <w:t>House</w:t>
      </w:r>
      <w:r>
        <w:tab/>
        <w:t>Read second time (</w:t>
      </w:r>
      <w:hyperlink r:id="rId13" w:history="1">
        <w:r w:rsidRPr="007A1304">
          <w:rPr>
            <w:rStyle w:val="Hyperlink"/>
          </w:rPr>
          <w:t>House Journal</w:t>
        </w:r>
        <w:r w:rsidRPr="007A1304">
          <w:rPr>
            <w:rStyle w:val="Hyperlink"/>
          </w:rPr>
          <w:noBreakHyphen/>
          <w:t>page 125</w:t>
        </w:r>
      </w:hyperlink>
      <w:r>
        <w:t>)</w:t>
      </w:r>
    </w:p>
    <w:p w:rsidR="00915AB7" w:rsidRDefault="00915AB7" w:rsidP="00915AB7">
      <w:pPr>
        <w:widowControl w:val="0"/>
        <w:tabs>
          <w:tab w:val="right" w:pos="1008"/>
          <w:tab w:val="left" w:pos="1152"/>
          <w:tab w:val="left" w:pos="1872"/>
          <w:tab w:val="left" w:pos="9187"/>
        </w:tabs>
        <w:ind w:left="2088" w:hanging="2088"/>
      </w:pPr>
      <w:r>
        <w:tab/>
        <w:t>4/6/2022</w:t>
      </w:r>
      <w:r>
        <w:tab/>
        <w:t>House</w:t>
      </w:r>
      <w:r>
        <w:tab/>
        <w:t>Roll call Yeas</w:t>
      </w:r>
      <w:r>
        <w:noBreakHyphen/>
        <w:t>113  Nays</w:t>
      </w:r>
      <w:r>
        <w:noBreakHyphen/>
        <w:t>0 (</w:t>
      </w:r>
      <w:hyperlink r:id="rId14" w:history="1">
        <w:r w:rsidRPr="007A1304">
          <w:rPr>
            <w:rStyle w:val="Hyperlink"/>
          </w:rPr>
          <w:t>House Journal</w:t>
        </w:r>
        <w:r w:rsidRPr="007A1304">
          <w:rPr>
            <w:rStyle w:val="Hyperlink"/>
          </w:rPr>
          <w:noBreakHyphen/>
          <w:t>page 132</w:t>
        </w:r>
      </w:hyperlink>
      <w:r>
        <w:t>)</w:t>
      </w:r>
    </w:p>
    <w:p w:rsidR="00915AB7" w:rsidRDefault="00915AB7" w:rsidP="00915AB7">
      <w:pPr>
        <w:widowControl w:val="0"/>
        <w:tabs>
          <w:tab w:val="right" w:pos="1008"/>
          <w:tab w:val="left" w:pos="1152"/>
          <w:tab w:val="left" w:pos="1872"/>
          <w:tab w:val="left" w:pos="9187"/>
        </w:tabs>
        <w:ind w:left="2088" w:hanging="2088"/>
      </w:pPr>
      <w:r>
        <w:tab/>
        <w:t>4/7/2022</w:t>
      </w:r>
      <w:r>
        <w:tab/>
        <w:t>House</w:t>
      </w:r>
      <w:r>
        <w:tab/>
        <w:t>Read third time and sent to Senate</w:t>
      </w:r>
    </w:p>
    <w:p w:rsidR="00915AB7" w:rsidRDefault="00915AB7" w:rsidP="00915AB7">
      <w:pPr>
        <w:widowControl w:val="0"/>
        <w:tabs>
          <w:tab w:val="right" w:pos="1008"/>
          <w:tab w:val="left" w:pos="1152"/>
          <w:tab w:val="left" w:pos="1872"/>
          <w:tab w:val="left" w:pos="9187"/>
        </w:tabs>
        <w:ind w:left="2088" w:hanging="2088"/>
      </w:pPr>
      <w:r>
        <w:tab/>
        <w:t>4/7/2022</w:t>
      </w:r>
      <w:r>
        <w:tab/>
        <w:t>Senate</w:t>
      </w:r>
      <w:r>
        <w:tab/>
        <w:t>Introduced and read first time (</w:t>
      </w:r>
      <w:hyperlink r:id="rId15" w:history="1">
        <w:r w:rsidRPr="007A1304">
          <w:rPr>
            <w:rStyle w:val="Hyperlink"/>
          </w:rPr>
          <w:t>Senate Journal</w:t>
        </w:r>
        <w:r w:rsidRPr="007A1304">
          <w:rPr>
            <w:rStyle w:val="Hyperlink"/>
          </w:rPr>
          <w:noBreakHyphen/>
          <w:t>page 4</w:t>
        </w:r>
      </w:hyperlink>
      <w:r>
        <w:t>)</w:t>
      </w:r>
    </w:p>
    <w:p w:rsidR="00915AB7" w:rsidRDefault="00915AB7" w:rsidP="00915AB7">
      <w:pPr>
        <w:widowControl w:val="0"/>
        <w:tabs>
          <w:tab w:val="right" w:pos="1008"/>
          <w:tab w:val="left" w:pos="1152"/>
          <w:tab w:val="left" w:pos="1872"/>
          <w:tab w:val="left" w:pos="9187"/>
        </w:tabs>
        <w:ind w:left="2088" w:hanging="2088"/>
      </w:pPr>
      <w:r>
        <w:tab/>
        <w:t>4/7/2022</w:t>
      </w:r>
      <w:r>
        <w:tab/>
        <w:t>Senate</w:t>
      </w:r>
      <w:r>
        <w:tab/>
        <w:t xml:space="preserve">Referred to Committee on </w:t>
      </w:r>
      <w:r w:rsidRPr="007A1304">
        <w:rPr>
          <w:b/>
        </w:rPr>
        <w:t>Finance</w:t>
      </w:r>
      <w:r>
        <w:t xml:space="preserve"> (</w:t>
      </w:r>
      <w:hyperlink r:id="rId16" w:history="1">
        <w:r w:rsidRPr="007A1304">
          <w:rPr>
            <w:rStyle w:val="Hyperlink"/>
          </w:rPr>
          <w:t>Senate Journal</w:t>
        </w:r>
        <w:r w:rsidRPr="007A1304">
          <w:rPr>
            <w:rStyle w:val="Hyperlink"/>
          </w:rPr>
          <w:noBreakHyphen/>
          <w:t>page 4</w:t>
        </w:r>
      </w:hyperlink>
      <w:r>
        <w:t>)</w:t>
      </w:r>
    </w:p>
    <w:p w:rsidR="00915AB7" w:rsidRDefault="00915AB7" w:rsidP="00915AB7">
      <w:pPr>
        <w:widowControl w:val="0"/>
        <w:tabs>
          <w:tab w:val="right" w:pos="1008"/>
          <w:tab w:val="left" w:pos="1152"/>
          <w:tab w:val="left" w:pos="1872"/>
          <w:tab w:val="left" w:pos="9187"/>
        </w:tabs>
        <w:ind w:left="2088" w:hanging="2088"/>
      </w:pPr>
      <w:r>
        <w:tab/>
        <w:t>4/7/2022</w:t>
      </w:r>
      <w:r>
        <w:tab/>
      </w:r>
      <w:r>
        <w:tab/>
        <w:t>Scrivener's error corrected</w:t>
      </w:r>
    </w:p>
    <w:p w:rsidR="00915AB7" w:rsidRDefault="00915AB7" w:rsidP="00915AB7">
      <w:pPr>
        <w:widowControl w:val="0"/>
        <w:tabs>
          <w:tab w:val="right" w:pos="1008"/>
          <w:tab w:val="left" w:pos="1152"/>
          <w:tab w:val="left" w:pos="1872"/>
          <w:tab w:val="left" w:pos="9187"/>
        </w:tabs>
        <w:ind w:left="2088" w:hanging="2088"/>
      </w:pPr>
    </w:p>
    <w:p w:rsidR="005F55E2" w:rsidRDefault="005F55E2" w:rsidP="005F55E2">
      <w:pPr>
        <w:widowControl w:val="0"/>
        <w:tabs>
          <w:tab w:val="right" w:pos="1008"/>
          <w:tab w:val="left" w:pos="1152"/>
          <w:tab w:val="left" w:pos="1872"/>
          <w:tab w:val="left" w:pos="9187"/>
        </w:tabs>
        <w:ind w:left="2088" w:hanging="2088"/>
        <w:jc w:val="left"/>
      </w:pPr>
      <w:r>
        <w:t xml:space="preserve">View the latest </w:t>
      </w:r>
      <w:hyperlink r:id="rId17" w:history="1">
        <w:r w:rsidRPr="005F55E2">
          <w:rPr>
            <w:rStyle w:val="Hyperlink"/>
          </w:rPr>
          <w:t>legislative information</w:t>
        </w:r>
      </w:hyperlink>
      <w:r>
        <w:t xml:space="preserve"> at the website</w:t>
      </w:r>
    </w:p>
    <w:p w:rsidR="005F55E2" w:rsidRDefault="005F55E2" w:rsidP="005F55E2">
      <w:pPr>
        <w:widowControl w:val="0"/>
        <w:tabs>
          <w:tab w:val="right" w:pos="1008"/>
          <w:tab w:val="left" w:pos="1152"/>
          <w:tab w:val="left" w:pos="1872"/>
          <w:tab w:val="left" w:pos="9187"/>
        </w:tabs>
        <w:ind w:left="2088" w:hanging="2088"/>
        <w:jc w:val="left"/>
      </w:pPr>
    </w:p>
    <w:p w:rsidR="005F55E2" w:rsidRPr="005F55E2" w:rsidRDefault="005F55E2" w:rsidP="005F55E2">
      <w:pPr>
        <w:widowControl w:val="0"/>
        <w:tabs>
          <w:tab w:val="right" w:pos="1008"/>
          <w:tab w:val="left" w:pos="1152"/>
          <w:tab w:val="left" w:pos="1872"/>
          <w:tab w:val="left" w:pos="9187"/>
        </w:tabs>
        <w:ind w:left="2088" w:hanging="2088"/>
        <w:jc w:val="left"/>
      </w:pPr>
    </w:p>
    <w:p w:rsidR="005F55E2" w:rsidRDefault="005F55E2" w:rsidP="005F55E2">
      <w:pPr>
        <w:widowControl w:val="0"/>
        <w:jc w:val="left"/>
      </w:pPr>
      <w:r w:rsidRPr="005F55E2">
        <w:rPr>
          <w:b/>
        </w:rPr>
        <w:t>VERSIONS OF THIS BILL</w:t>
      </w:r>
    </w:p>
    <w:p w:rsidR="005F55E2" w:rsidRDefault="005F55E2" w:rsidP="005F55E2">
      <w:pPr>
        <w:widowControl w:val="0"/>
        <w:jc w:val="left"/>
      </w:pPr>
    </w:p>
    <w:p w:rsidR="005F55E2" w:rsidRDefault="006E603A" w:rsidP="005F55E2">
      <w:pPr>
        <w:widowControl w:val="0"/>
        <w:jc w:val="left"/>
      </w:pPr>
      <w:hyperlink r:id="rId18" w:history="1">
        <w:r w:rsidR="005F55E2">
          <w:rPr>
            <w:rStyle w:val="Hyperlink"/>
          </w:rPr>
          <w:t>12/9/2020</w:t>
        </w:r>
      </w:hyperlink>
    </w:p>
    <w:p w:rsidR="005F55E2" w:rsidRDefault="006E603A" w:rsidP="005F55E2">
      <w:hyperlink r:id="rId19" w:history="1">
        <w:r w:rsidR="004F402C" w:rsidRPr="004F402C">
          <w:rPr>
            <w:rStyle w:val="Hyperlink"/>
          </w:rPr>
          <w:t>1/26/2022</w:t>
        </w:r>
      </w:hyperlink>
    </w:p>
    <w:p w:rsidR="004F402C" w:rsidRDefault="006E603A" w:rsidP="005F55E2">
      <w:hyperlink r:id="rId20" w:history="1">
        <w:r w:rsidR="005E057A" w:rsidRPr="005E057A">
          <w:rPr>
            <w:rStyle w:val="Hyperlink"/>
          </w:rPr>
          <w:t>3/31/2022</w:t>
        </w:r>
      </w:hyperlink>
    </w:p>
    <w:p w:rsidR="005E057A" w:rsidRDefault="006E603A" w:rsidP="005F55E2">
      <w:hyperlink r:id="rId21" w:history="1">
        <w:r w:rsidR="00FA202E" w:rsidRPr="00FA202E">
          <w:rPr>
            <w:rStyle w:val="Hyperlink"/>
          </w:rPr>
          <w:t>4/5/2022</w:t>
        </w:r>
      </w:hyperlink>
    </w:p>
    <w:p w:rsidR="00FA202E" w:rsidRDefault="006E603A" w:rsidP="005F55E2">
      <w:hyperlink r:id="rId22" w:history="1">
        <w:r w:rsidR="005B41C1" w:rsidRPr="005B41C1">
          <w:rPr>
            <w:rStyle w:val="Hyperlink"/>
          </w:rPr>
          <w:t>4/6/2022</w:t>
        </w:r>
      </w:hyperlink>
    </w:p>
    <w:p w:rsidR="005B41C1" w:rsidRDefault="006E603A" w:rsidP="005F55E2">
      <w:hyperlink r:id="rId23" w:history="1">
        <w:r w:rsidR="006658B4" w:rsidRPr="006658B4">
          <w:rPr>
            <w:rStyle w:val="Hyperlink"/>
          </w:rPr>
          <w:t>4/7/2022</w:t>
        </w:r>
      </w:hyperlink>
    </w:p>
    <w:p w:rsidR="006658B4" w:rsidRDefault="006658B4" w:rsidP="005F55E2"/>
    <w:p w:rsidR="005F55E2" w:rsidRDefault="005F55E2" w:rsidP="005F55E2">
      <w:pPr>
        <w:sectPr w:rsidR="005F55E2" w:rsidSect="005F55E2">
          <w:pgSz w:w="12240" w:h="15840" w:code="1"/>
          <w:pgMar w:top="1080" w:right="1440" w:bottom="1080" w:left="1440" w:header="720" w:footer="720" w:gutter="0"/>
          <w:cols w:space="720"/>
          <w:noEndnote/>
          <w:docGrid w:linePitch="360"/>
        </w:sectPr>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658B4" w:rsidRPr="00C97201"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Pr="00C97201" w:rsidRDefault="006658B4" w:rsidP="00C97201">
      <w:pPr>
        <w:tabs>
          <w:tab w:val="right" w:pos="5933"/>
        </w:tabs>
        <w:suppressAutoHyphens/>
      </w:pPr>
      <w:r>
        <w:tab/>
      </w:r>
      <w:r>
        <w:rPr>
          <w:b/>
          <w:sz w:val="36"/>
        </w:rPr>
        <w:t>H. 3252</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Blackwell, Whitmire, W. Cox, McGarry and B. Newton</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5B35E9">
      <w:pPr>
        <w:tabs>
          <w:tab w:val="right" w:pos="5933"/>
        </w:tabs>
        <w:suppressAutoHyphens/>
      </w:pPr>
      <w:r>
        <w:t>S. Printed 4/6/22--H.</w:t>
      </w:r>
      <w:r>
        <w:tab/>
        <w:t>[SEC 4/7/22 12:26 PM]</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6658B4" w:rsidRPr="00C97201"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58B4" w:rsidSect="00F12B5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Pr="00325348" w:rsidRDefault="006658B4"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6658B4" w:rsidRDefault="006658B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p>
    <w:p w:rsidR="006658B4" w:rsidRDefault="00665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658B4" w:rsidRDefault="00665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Default="00665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8B4" w:rsidRDefault="006658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1.</w:t>
      </w:r>
      <w:r w:rsidRPr="00D46A5B">
        <w:rPr>
          <w:u w:color="000000" w:themeColor="text1"/>
        </w:rPr>
        <w:tab/>
        <w:t>Section 23</w:t>
      </w:r>
      <w:r w:rsidRPr="00D46A5B">
        <w:rPr>
          <w:u w:color="000000" w:themeColor="text1"/>
        </w:rPr>
        <w:noBreakHyphen/>
        <w:t>9</w:t>
      </w:r>
      <w:r w:rsidRPr="00D46A5B">
        <w:rPr>
          <w:u w:color="000000" w:themeColor="text1"/>
        </w:rPr>
        <w:noBreakHyphen/>
        <w:t>25 of the 1976 Code is amended to read:</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“Section 23</w:t>
      </w:r>
      <w:r w:rsidRPr="00D46A5B">
        <w:rPr>
          <w:u w:color="000000" w:themeColor="text1"/>
        </w:rPr>
        <w:noBreakHyphen/>
        <w:t>9</w:t>
      </w:r>
      <w:r w:rsidRPr="00D46A5B">
        <w:rPr>
          <w:u w:color="000000" w:themeColor="text1"/>
        </w:rPr>
        <w:noBreakHyphen/>
        <w:t>25.</w:t>
      </w:r>
      <w:r w:rsidRPr="00D46A5B">
        <w:rPr>
          <w:u w:color="000000" w:themeColor="text1"/>
        </w:rPr>
        <w:tab/>
        <w:t>(A)</w:t>
      </w:r>
      <w:r w:rsidRPr="00D46A5B">
        <w:rPr>
          <w:u w:color="000000" w:themeColor="text1"/>
        </w:rPr>
        <w:tab/>
        <w:t>It is the purpose of this section to create the ‘Volunteer Strategic Assistance and Fire Equipment Program’ (V</w:t>
      </w:r>
      <w:r w:rsidRPr="00D46A5B">
        <w:rPr>
          <w:u w:color="000000" w:themeColor="text1"/>
        </w:rPr>
        <w:noBreakHyphen/>
        <w:t xml:space="preserve">SAFE) </w:t>
      </w:r>
      <w:r w:rsidRPr="00D46A5B">
        <w:rPr>
          <w:u w:val="single" w:color="000000" w:themeColor="text1"/>
        </w:rPr>
        <w:t>within the Division of State Fire Marshal</w:t>
      </w:r>
      <w:r w:rsidRPr="00D46A5B">
        <w:rPr>
          <w:u w:color="000000" w:themeColor="text1"/>
        </w:rPr>
        <w: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 xml:space="preserve">This section is contingent upon the General Assembly appropriating funds for the offering of grants </w:t>
      </w:r>
      <w:r w:rsidRPr="00D46A5B">
        <w:rPr>
          <w:strike/>
          <w:u w:color="000000" w:themeColor="text1"/>
        </w:rPr>
        <w:t>of not more than thirty thousand dollars</w:t>
      </w:r>
      <w:r w:rsidRPr="00D46A5B">
        <w:rPr>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t>(C)(1)</w:t>
      </w:r>
      <w:r w:rsidRPr="00D46A5B">
        <w:rPr>
          <w:u w:color="000000" w:themeColor="text1"/>
        </w:rPr>
        <w:tab/>
        <w:t>As contained in this section: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w:t>
      </w:r>
      <w:r w:rsidRPr="00D46A5B">
        <w:rPr>
          <w:strike/>
          <w:u w:color="000000" w:themeColor="text1"/>
        </w:rPr>
        <w:t>chartered</w:t>
      </w:r>
      <w:r w:rsidRPr="00D46A5B">
        <w:rPr>
          <w:u w:color="000000" w:themeColor="text1"/>
        </w:rPr>
        <w:t xml:space="preserve"> Fire department’ means a public or governmental sponsored organization providing fire suppression activities with a minimum of a Class 9 rating from the Insurance Services Office;</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w:t>
      </w:r>
      <w:r w:rsidRPr="00D46A5B">
        <w:rPr>
          <w:strike/>
          <w:u w:color="000000" w:themeColor="text1"/>
        </w:rPr>
        <w:t>chartered</w:t>
      </w:r>
      <w:r w:rsidRPr="00D46A5B">
        <w:rPr>
          <w:u w:color="000000" w:themeColor="text1"/>
        </w:rPr>
        <w:t xml:space="preserve"> Volunteer fire department’ means a fire department whose personnel serve for no compensation or are paid on a per</w:t>
      </w:r>
      <w:r w:rsidRPr="00D46A5B">
        <w:rPr>
          <w:u w:color="000000" w:themeColor="text1"/>
        </w:rPr>
        <w:noBreakHyphen/>
        <w:t>call basis; 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w:t>
      </w:r>
      <w:r w:rsidRPr="00D46A5B">
        <w:rPr>
          <w:u w:color="000000" w:themeColor="text1"/>
        </w:rPr>
        <w:t>c)</w:t>
      </w:r>
      <w:r w:rsidRPr="00D46A5B">
        <w:rPr>
          <w:u w:color="000000" w:themeColor="text1"/>
        </w:rPr>
        <w:tab/>
        <w:t>‘</w:t>
      </w:r>
      <w:r w:rsidRPr="00D46A5B">
        <w:rPr>
          <w:strike/>
          <w:u w:color="000000" w:themeColor="text1"/>
        </w:rPr>
        <w:t>chartered</w:t>
      </w:r>
      <w:r w:rsidRPr="00D46A5B">
        <w:rPr>
          <w:u w:color="000000" w:themeColor="text1"/>
        </w:rPr>
        <w:t xml:space="preserve"> Combination fire department’ means a fire department with both members who are paid and members who serve as volunteer firefighters.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r>
      <w:r w:rsidRPr="00D46A5B">
        <w:rPr>
          <w:strike/>
          <w:u w:color="000000" w:themeColor="text1"/>
        </w:rPr>
        <w:t>Chartered</w:t>
      </w:r>
      <w:r w:rsidRPr="00D46A5B">
        <w:rPr>
          <w:u w:color="000000" w:themeColor="text1"/>
        </w:rPr>
        <w:t xml:space="preserve"> Volunteer fire departments and </w:t>
      </w:r>
      <w:r w:rsidRPr="00D46A5B">
        <w:rPr>
          <w:strike/>
          <w:u w:color="000000" w:themeColor="text1"/>
        </w:rPr>
        <w:t>chartered</w:t>
      </w:r>
      <w:r w:rsidRPr="00D46A5B">
        <w:rPr>
          <w:u w:color="000000" w:themeColor="text1"/>
        </w:rPr>
        <w:t xml:space="preserve"> combination fire departments with a staffing level that is at least fifty percent volunteer are eligible to receive grants pursuant to this section. A </w:t>
      </w:r>
      <w:r w:rsidRPr="00D46A5B">
        <w:rPr>
          <w:strike/>
          <w:u w:color="000000" w:themeColor="text1"/>
        </w:rPr>
        <w:t>chartered</w:t>
      </w:r>
      <w:r w:rsidRPr="00D46A5B">
        <w:rPr>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(D)</w:t>
      </w:r>
      <w:r w:rsidRPr="00D46A5B">
        <w:rPr>
          <w:u w:color="000000" w:themeColor="text1"/>
        </w:rPr>
        <w:tab/>
      </w:r>
      <w:r w:rsidRPr="00D46A5B">
        <w:rPr>
          <w:strike/>
          <w:u w:color="000000" w:themeColor="text1"/>
        </w:rPr>
        <w:t>The amount of the grants awarded shall not exceed thirty thousand dollars per year for each eligible chartered fire department, with no matching or in</w:t>
      </w:r>
      <w:r w:rsidRPr="00D46A5B">
        <w:rPr>
          <w:strike/>
          <w:u w:color="000000" w:themeColor="text1"/>
        </w:rPr>
        <w:noBreakHyphen/>
        <w:t>kind money required. A chartered</w:t>
      </w:r>
      <w:r w:rsidRPr="00D46A5B">
        <w:rPr>
          <w:u w:color="000000" w:themeColor="text1"/>
        </w:rPr>
        <w:t xml:space="preserve"> </w:t>
      </w:r>
      <w:r w:rsidRPr="00D46A5B">
        <w:rPr>
          <w:u w:val="single"/>
        </w:rPr>
        <w:t>An eligible</w:t>
      </w:r>
      <w:r w:rsidRPr="00D46A5B">
        <w:rPr>
          <w:u w:color="000000" w:themeColor="text1"/>
        </w:rPr>
        <w:t xml:space="preserve"> fire department may be awarded only one grant </w:t>
      </w:r>
      <w:r w:rsidRPr="00D46A5B">
        <w:rPr>
          <w:strike/>
          <w:u w:color="000000" w:themeColor="text1"/>
        </w:rPr>
        <w:t>in a three</w:t>
      </w:r>
      <w:r w:rsidRPr="00D46A5B">
        <w:rPr>
          <w:strike/>
          <w:u w:color="000000" w:themeColor="text1"/>
        </w:rPr>
        <w:noBreakHyphen/>
        <w:t>year period</w:t>
      </w:r>
      <w:r w:rsidRPr="00D46A5B">
        <w:rPr>
          <w:u w:color="000000" w:themeColor="text1"/>
        </w:rPr>
        <w:t xml:space="preserve"> </w:t>
      </w:r>
      <w:r w:rsidRPr="00D46A5B">
        <w:rPr>
          <w:u w:val="single"/>
        </w:rPr>
        <w:t>annually</w:t>
      </w:r>
      <w:r w:rsidRPr="00D46A5B">
        <w:rPr>
          <w:u w:color="000000" w:themeColor="text1"/>
        </w:rPr>
        <w: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t>(E)</w:t>
      </w:r>
      <w:r w:rsidRPr="00D46A5B">
        <w:rPr>
          <w:u w:color="000000" w:themeColor="text1"/>
        </w:rPr>
        <w:tab/>
        <w:t xml:space="preserve">The grant money received by a </w:t>
      </w:r>
      <w:r w:rsidRPr="00D46A5B">
        <w:rPr>
          <w:strike/>
          <w:u w:color="000000" w:themeColor="text1"/>
        </w:rPr>
        <w:t>chartered</w:t>
      </w:r>
      <w:r w:rsidRPr="00D46A5B">
        <w:rPr>
          <w:u w:color="000000" w:themeColor="text1"/>
        </w:rPr>
        <w:t xml:space="preserve"> fire department must be used for the following purposes: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w:t>
      </w:r>
      <w:r w:rsidRPr="00D46A5B">
        <w:rPr>
          <w:u w:color="000000" w:themeColor="text1"/>
        </w:rPr>
        <w:tab/>
        <w:t>fire suppression equipment;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t>self</w:t>
      </w:r>
      <w:r w:rsidRPr="00D46A5B">
        <w:rPr>
          <w:u w:color="000000" w:themeColor="text1"/>
        </w:rPr>
        <w:noBreakHyphen/>
        <w:t>contained breathing apparatus;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(3)</w:t>
      </w:r>
      <w:r w:rsidRPr="00D46A5B">
        <w:rPr>
          <w:u w:color="000000" w:themeColor="text1"/>
        </w:rPr>
        <w:tab/>
        <w:t>portable air refilling systems;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hazardous materials spill leak detection, repair, and recovery equipment;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protective clothing and equipment;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new and used fire apparatus;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r>
      <w:r w:rsidRPr="00D46A5B">
        <w:rPr>
          <w:u w:color="000000" w:themeColor="text1"/>
        </w:rPr>
        <w:tab/>
        <w:t>(7)</w:t>
      </w:r>
      <w:r w:rsidRPr="00D46A5B">
        <w:rPr>
          <w:u w:color="000000" w:themeColor="text1"/>
        </w:rPr>
        <w:tab/>
        <w:t>incident command vehicles;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(8)</w:t>
      </w:r>
      <w:r w:rsidRPr="00D46A5B">
        <w:rPr>
          <w:u w:color="000000" w:themeColor="text1"/>
        </w:rPr>
        <w:tab/>
        <w:t>special operations vehicles;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(9)</w:t>
      </w:r>
      <w:r w:rsidRPr="00D46A5B">
        <w:rPr>
          <w:u w:color="000000" w:themeColor="text1"/>
        </w:rPr>
        <w:tab/>
        <w:t xml:space="preserve">training; </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(10)</w:t>
      </w:r>
      <w:r w:rsidRPr="00D46A5B">
        <w:rPr>
          <w:u w:color="000000" w:themeColor="text1"/>
        </w:rPr>
        <w:tab/>
        <w:t>rescue equipment;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(11)</w:t>
      </w:r>
      <w:r w:rsidRPr="00D46A5B">
        <w:rPr>
          <w:u w:color="000000" w:themeColor="text1"/>
        </w:rPr>
        <w:tab/>
        <w:t>medical equipment;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(12)</w:t>
      </w:r>
      <w:r w:rsidRPr="00D46A5B">
        <w:rPr>
          <w:u w:color="000000" w:themeColor="text1"/>
        </w:rPr>
        <w:tab/>
        <w:t xml:space="preserve">decontamination equipment; </w:t>
      </w:r>
      <w:r w:rsidRPr="00D46A5B">
        <w:rPr>
          <w:strike/>
          <w:u w:color="000000" w:themeColor="text1"/>
        </w:rPr>
        <w:t>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(13)</w:t>
      </w:r>
      <w:r w:rsidRPr="00D46A5B">
        <w:rPr>
          <w:u w:color="000000" w:themeColor="text1"/>
        </w:rPr>
        <w:tab/>
        <w:t>safety equipment</w:t>
      </w:r>
      <w:r w:rsidRPr="00D46A5B">
        <w:rPr>
          <w:u w:val="single"/>
        </w:rPr>
        <w: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val="single"/>
        </w:rPr>
        <w:t>(14)</w:t>
      </w:r>
      <w:r w:rsidRPr="00D46A5B">
        <w:tab/>
      </w:r>
      <w:r w:rsidRPr="00D46A5B">
        <w:rPr>
          <w:u w:val="single"/>
        </w:rPr>
        <w:t>real properties or improvements thereto including upgrades and rehabilitations; 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tab/>
      </w:r>
      <w:r w:rsidRPr="00D46A5B">
        <w:tab/>
      </w:r>
      <w:r w:rsidRPr="00D46A5B">
        <w:rPr>
          <w:u w:val="single"/>
        </w:rPr>
        <w:t>(15)</w:t>
      </w:r>
      <w:r w:rsidRPr="00D46A5B">
        <w:tab/>
      </w:r>
      <w:r w:rsidRPr="00D46A5B">
        <w:rPr>
          <w:u w:val="single"/>
        </w:rPr>
        <w:t>communications equipment</w:t>
      </w:r>
      <w:r w:rsidRPr="00D46A5B">
        <w:rPr>
          <w:u w:color="000000" w:themeColor="text1"/>
        </w:rPr>
        <w:t xml:space="preserve">. </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(F)(1)</w:t>
      </w:r>
      <w:r w:rsidRPr="00D46A5B">
        <w:rPr>
          <w:u w:color="000000" w:themeColor="text1"/>
        </w:rPr>
        <w:tab/>
        <w:t>The State Fire Marshal shall administer the grants in conjunction with a peer</w:t>
      </w:r>
      <w:r w:rsidRPr="00D46A5B">
        <w:rPr>
          <w:u w:color="000000" w:themeColor="text1"/>
        </w:rPr>
        <w:noBreakHyphen/>
        <w:t>review panel.</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(2)</w:t>
      </w:r>
      <w:r w:rsidRPr="00D46A5B">
        <w:rPr>
          <w:u w:color="000000" w:themeColor="text1"/>
        </w:rPr>
        <w:tab/>
        <w:t>The peer</w:t>
      </w:r>
      <w:r w:rsidRPr="00D46A5B">
        <w:rPr>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D46A5B">
        <w:rPr>
          <w:u w:val="single"/>
        </w:rPr>
        <w:t>The peer-review panel shall act as an oversight panel and act to ensure compliance, relevance, and adherence to the prescribed intent of the grants as set forth in this section.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t>(3)</w:t>
      </w:r>
      <w:r w:rsidRPr="00D46A5B">
        <w:rPr>
          <w:u w:color="000000" w:themeColor="text1"/>
        </w:rPr>
        <w:tab/>
        <w:t>An applicant for grant money must submit justification for their project that provides details regarding the project and the project’s budget</w:t>
      </w:r>
      <w:r w:rsidRPr="00EC4ACD">
        <w:rPr>
          <w:u w:val="single"/>
        </w:rPr>
        <w:t>.</w:t>
      </w:r>
      <w:r w:rsidRPr="00D46A5B">
        <w:rPr>
          <w:u w:color="000000" w:themeColor="text1"/>
        </w:rPr>
        <w:t xml:space="preserve"> </w:t>
      </w:r>
      <w:r w:rsidRPr="00D46A5B">
        <w:rPr>
          <w:strike/>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D46A5B">
        <w:rPr>
          <w:strike/>
          <w:u w:color="000000" w:themeColor="text1"/>
        </w:rPr>
        <w:noBreakHyphen/>
        <w:t>benefit review. An applicant may demonstrate cost</w:t>
      </w:r>
      <w:r w:rsidRPr="00D46A5B">
        <w:rPr>
          <w:strike/>
          <w:u w:color="000000" w:themeColor="text1"/>
        </w:rPr>
        <w:noBreakHyphen/>
        <w:t>benefit by describing, as applicable, how the grant award will:</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(a)</w:t>
      </w:r>
      <w:r w:rsidRPr="00D46A5B">
        <w:rPr>
          <w:strike/>
          <w:u w:color="000000" w:themeColor="text1"/>
        </w:rPr>
        <w:tab/>
        <w:t>enhance a regional approach that is consistent with current capabilities and requests of neighboring organizations or otherwise benefits other organizations in the region;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(b)</w:t>
      </w:r>
      <w:r w:rsidRPr="00D46A5B">
        <w:rPr>
          <w:strike/>
          <w:u w:color="000000" w:themeColor="text1"/>
        </w:rPr>
        <w:tab/>
        <w:t>implement interoperable communications capabilities with other local, state, and federal first responders and other organizations;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(c)</w:t>
      </w:r>
      <w:r w:rsidRPr="00D46A5B">
        <w:rPr>
          <w:strike/>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Panelists shall evaluate and score the proposed project’s clarity, including the project’s budget detail, the organization’s financial need, the benefits that would result from an award relative to the 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strike/>
          <w:u w:color="000000" w:themeColor="text1"/>
        </w:rPr>
        <w:t>Applications shall be evaluated by the panelists relative to the critical infrastructure within the applicant’s area of first</w:t>
      </w:r>
      <w:r w:rsidRPr="00D46A5B">
        <w:rPr>
          <w:strike/>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Award recipients must agree to:</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perform, within the designated period of performance, all approved tasks as outlined in the application;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retain grant files and supporting documentation for three years after the conclusion and close out of the grant or any audit subsequent to close out;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D46A5B">
        <w:rPr>
          <w:u w:color="000000" w:themeColor="text1"/>
        </w:rPr>
        <w:noBreakHyphen/>
        <w:t>source purchasing is not an acceptable procurement method except in circumstances allowed by law;</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submit a performance report to the peer</w:t>
      </w:r>
      <w:r w:rsidRPr="00D46A5B">
        <w:rPr>
          <w:u w:color="000000" w:themeColor="text1"/>
        </w:rPr>
        <w:noBreakHyphen/>
        <w:t>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r>
      <w:r w:rsidRPr="00D46A5B">
        <w:rPr>
          <w:u w:val="single"/>
        </w:rPr>
        <w:t>Any fire department that fails to submit the required progress and close-out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u w:val="single"/>
        </w:rPr>
        <w:t>(f)</w:t>
      </w:r>
      <w:r w:rsidRPr="00D46A5B">
        <w:rPr>
          <w:u w:color="000000" w:themeColor="text1"/>
        </w:rPr>
        <w:t xml:space="preserve"> make grant files, books, and records available, if requested by any person, for inspection to ensure compliance with any requirement of the grant program.</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A recipient that completes the approved scope of work prior to the end of the performance period, and still has grant funds available, may:</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 xml:space="preserve">use the greater of one percent of their award amount or three hundred dollars to continue or expand, the activities for which they received the award </w:t>
      </w:r>
      <w:r w:rsidRPr="00D46A5B">
        <w:rPr>
          <w:u w:val="single"/>
        </w:rPr>
        <w:t>without submitting an application to amend the grant request</w:t>
      </w:r>
      <w:r w:rsidRPr="00D46A5B">
        <w:rPr>
          <w:u w:color="000000" w:themeColor="text1"/>
        </w:rPr>
        <w: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 xml:space="preserve">use a combination of subitems (a) and (b); </w:t>
      </w:r>
      <w:r w:rsidRPr="00D46A5B">
        <w:rPr>
          <w:strike/>
          <w:u w:color="000000" w:themeColor="text1"/>
        </w:rPr>
        <w:t>or</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r>
      <w:r w:rsidRPr="00D46A5B">
        <w:rPr>
          <w:u w:val="single"/>
        </w:rPr>
        <w:t>submit an application to the peer-review panel to amend the grant request to redirect funds to another eligible project; or</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(e)</w:t>
      </w:r>
      <w:r w:rsidRPr="00D46A5B">
        <w:rPr>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The State Fire Marshal shall:</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develop a grant application package utilizing the established guidelines;</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establish and market a written and electronic version of the grant application package;</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provide all administrative support to the peer</w:t>
      </w:r>
      <w:r w:rsidRPr="00D46A5B">
        <w:rPr>
          <w:u w:color="000000" w:themeColor="text1"/>
        </w:rPr>
        <w:noBreakHyphen/>
        <w:t xml:space="preserve">review panel; </w:t>
      </w:r>
      <w:r w:rsidRPr="00D46A5B">
        <w:rPr>
          <w:strike/>
          <w:u w:color="000000" w:themeColor="text1"/>
        </w:rPr>
        <w:t>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t>provide a grants web page for electronic applications</w:t>
      </w:r>
      <w:r w:rsidRPr="00D46A5B">
        <w:rPr>
          <w:u w:val="single"/>
        </w:rPr>
        <w:t>; and</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(f)</w:t>
      </w:r>
      <w:r w:rsidRPr="00D46A5B">
        <w:tab/>
      </w:r>
      <w:r w:rsidRPr="00D46A5B">
        <w:rPr>
          <w:u w:val="single"/>
        </w:rPr>
        <w:t>determine the annual maximum amount of grant funding an eligible fire department may receive based on the total amount of grant funding received divided by the total number of eligible fire departments</w:t>
      </w:r>
      <w:r w:rsidRPr="00D46A5B">
        <w:t>.</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t>(G)</w:t>
      </w:r>
      <w:r w:rsidRPr="00D46A5B">
        <w:rPr>
          <w:u w:color="000000" w:themeColor="text1"/>
        </w:rPr>
        <w:tab/>
      </w:r>
      <w:r w:rsidRPr="00D46A5B">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D46A5B">
        <w:noBreakHyphen/>
        <w:t>review panel.</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tab/>
      </w:r>
      <w:r w:rsidRPr="00D46A5B">
        <w:rPr>
          <w:iCs/>
          <w:szCs w:val="18"/>
          <w:u w:val="single"/>
        </w:rPr>
        <w:t>(H)</w:t>
      </w:r>
      <w:r w:rsidRPr="00D46A5B">
        <w:rPr>
          <w:iCs/>
          <w:szCs w:val="18"/>
        </w:rPr>
        <w:tab/>
      </w:r>
      <w:r w:rsidRPr="00D46A5B">
        <w:rPr>
          <w:iCs/>
          <w:szCs w:val="18"/>
          <w:u w:val="single"/>
        </w:rPr>
        <w:t>Up to three percent of these funds must be retained by the State Fire Marshal for the express purpose of funding costs associated with the administration of the program.</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rPr>
          <w:iCs/>
          <w:szCs w:val="18"/>
        </w:rPr>
        <w:tab/>
      </w:r>
      <w:r w:rsidRPr="00D46A5B">
        <w:rPr>
          <w:iCs/>
          <w:szCs w:val="18"/>
          <w:u w:val="single"/>
        </w:rPr>
        <w:t>(I)</w:t>
      </w:r>
      <w:r w:rsidRPr="00D46A5B">
        <w:rPr>
          <w:iCs/>
          <w:szCs w:val="18"/>
        </w:rPr>
        <w:tab/>
      </w:r>
      <w:r w:rsidRPr="00D46A5B">
        <w:rPr>
          <w:iCs/>
          <w:szCs w:val="18"/>
          <w:u w:val="single"/>
        </w:rPr>
        <w:t>The State Fire Marshal has the authority to receive and distribute to eligible fire departments all grant funds according to this section.</w:t>
      </w: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iCs/>
          <w:szCs w:val="18"/>
        </w:rPr>
        <w:tab/>
      </w:r>
      <w:r w:rsidRPr="00D46A5B">
        <w:rPr>
          <w:iCs/>
          <w:szCs w:val="18"/>
          <w:u w:val="single"/>
        </w:rPr>
        <w:t>(J)</w:t>
      </w:r>
      <w:r w:rsidRPr="00D46A5B">
        <w:rPr>
          <w:iCs/>
          <w:szCs w:val="18"/>
        </w:rPr>
        <w:tab/>
      </w:r>
      <w:r w:rsidRPr="00D46A5B">
        <w:rPr>
          <w:iCs/>
          <w:szCs w:val="18"/>
          <w:u w:val="single"/>
        </w:rPr>
        <w:t>Grant funds that are not distributed may be carried forward to the next fiscal year to be used for the same purposes.</w:t>
      </w:r>
      <w:r w:rsidRPr="00D46A5B">
        <w:t>”</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2.</w:t>
      </w:r>
      <w:r w:rsidRPr="00D46A5B">
        <w:rPr>
          <w:u w:color="000000" w:themeColor="text1"/>
        </w:rPr>
        <w:tab/>
        <w:t>Section 38</w:t>
      </w:r>
      <w:r w:rsidRPr="00D46A5B">
        <w:rPr>
          <w:u w:color="000000" w:themeColor="text1"/>
        </w:rPr>
        <w:noBreakHyphen/>
        <w:t>7</w:t>
      </w:r>
      <w:r w:rsidRPr="00D46A5B">
        <w:rPr>
          <w:u w:color="000000" w:themeColor="text1"/>
        </w:rPr>
        <w:noBreakHyphen/>
        <w:t>20(B)(2) of the 1976 Code, as last amended by Act 149 of 2020, is further amended to read:</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“(2)</w:t>
      </w:r>
      <w:r w:rsidRPr="00D46A5B">
        <w:rPr>
          <w:u w:color="000000" w:themeColor="text1"/>
        </w:rPr>
        <w:tab/>
      </w:r>
      <w:r w:rsidRPr="00D46A5B">
        <w:rPr>
          <w:strike/>
          <w:u w:color="000000" w:themeColor="text1"/>
        </w:rPr>
        <w:t>one</w:t>
      </w:r>
      <w:r w:rsidRPr="00D46A5B">
        <w:rPr>
          <w:u w:color="000000" w:themeColor="text1"/>
        </w:rPr>
        <w:t xml:space="preserve"> </w:t>
      </w:r>
      <w:r w:rsidRPr="00D46A5B">
        <w:rPr>
          <w:u w:val="single" w:color="000000" w:themeColor="text1"/>
        </w:rPr>
        <w:t>four</w:t>
      </w:r>
      <w:r w:rsidRPr="00D46A5B">
        <w:rPr>
          <w:u w:color="000000" w:themeColor="text1"/>
        </w:rPr>
        <w:t xml:space="preserve"> percent must be transferred to the V</w:t>
      </w:r>
      <w:r w:rsidRPr="00D46A5B">
        <w:rPr>
          <w:u w:color="000000" w:themeColor="text1"/>
        </w:rPr>
        <w:noBreakHyphen/>
        <w:t>SAFE program pursuant to Section 23</w:t>
      </w:r>
      <w:r w:rsidRPr="00D46A5B">
        <w:rPr>
          <w:u w:color="000000" w:themeColor="text1"/>
        </w:rPr>
        <w:noBreakHyphen/>
        <w:t>9</w:t>
      </w:r>
      <w:r w:rsidRPr="00D46A5B">
        <w:rPr>
          <w:u w:color="000000" w:themeColor="text1"/>
        </w:rPr>
        <w:noBreakHyphen/>
        <w:t>25;”</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3.</w:t>
      </w:r>
      <w:r w:rsidRPr="00D46A5B">
        <w:rPr>
          <w:u w:color="000000" w:themeColor="text1"/>
        </w:rPr>
        <w:tab/>
        <w:t>A.</w:t>
      </w:r>
      <w:r w:rsidRPr="00D46A5B">
        <w:rPr>
          <w:u w:color="000000" w:themeColor="text1"/>
        </w:rPr>
        <w:tab/>
      </w:r>
      <w:r>
        <w:rPr>
          <w:u w:color="000000" w:themeColor="text1"/>
        </w:rPr>
        <w:tab/>
      </w:r>
      <w:r w:rsidRPr="00D46A5B">
        <w:rPr>
          <w:u w:color="000000" w:themeColor="text1"/>
        </w:rPr>
        <w:t>Section 12</w:t>
      </w:r>
      <w:r w:rsidRPr="00D46A5B">
        <w:rPr>
          <w:u w:color="000000" w:themeColor="text1"/>
        </w:rPr>
        <w:noBreakHyphen/>
        <w:t>37</w:t>
      </w:r>
      <w:r w:rsidRPr="00D46A5B">
        <w:rPr>
          <w:u w:color="000000" w:themeColor="text1"/>
        </w:rPr>
        <w:noBreakHyphen/>
        <w:t>935(B) of the 1976 Code is amended to read:</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Annually as provided in Section 11</w:t>
      </w:r>
      <w:r w:rsidRPr="00D46A5B">
        <w:rPr>
          <w:u w:color="000000" w:themeColor="text1"/>
        </w:rPr>
        <w:noBreakHyphen/>
        <w:t>11</w:t>
      </w:r>
      <w:r w:rsidRPr="00D46A5B">
        <w:rPr>
          <w:u w:color="000000" w:themeColor="text1"/>
        </w:rPr>
        <w:noBreakHyphen/>
        <w:t>150, there is credited to the Trust Fund for Tax Relief an amount sufficient to reimburse all local taxing entities the amount of revenue not collected as a result of the additional depreciation more than eighty percent allowed for manufacturer’s machinery and equipment pursuant to this section</w:t>
      </w:r>
      <w:r w:rsidRPr="00D46A5B">
        <w:rPr>
          <w:u w:val="single" w:color="000000" w:themeColor="text1"/>
        </w:rPr>
        <w:t>; however, one percent of such funds must be credited to the V</w:t>
      </w:r>
      <w:r w:rsidRPr="00D46A5B">
        <w:rPr>
          <w:u w:val="single" w:color="000000" w:themeColor="text1"/>
        </w:rPr>
        <w:noBreakHyphen/>
        <w:t>SAFE program, established pursuant to Section 23</w:t>
      </w:r>
      <w:r w:rsidRPr="00D46A5B">
        <w:rPr>
          <w:u w:val="single" w:color="000000" w:themeColor="text1"/>
        </w:rPr>
        <w:noBreakHyphen/>
        <w:t>9</w:t>
      </w:r>
      <w:r w:rsidRPr="00D46A5B">
        <w:rPr>
          <w:u w:val="single" w:color="000000" w:themeColor="text1"/>
        </w:rPr>
        <w:noBreakHyphen/>
        <w:t>25</w:t>
      </w:r>
      <w:r w:rsidRPr="00D46A5B">
        <w:rPr>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sidRPr="00D46A5B">
        <w:rPr>
          <w:u w:color="000000" w:themeColor="text1"/>
        </w:rPr>
        <w:noBreakHyphen/>
        <w:t>37</w:t>
      </w:r>
      <w:r w:rsidRPr="00D46A5B">
        <w:rPr>
          <w:u w:color="000000" w:themeColor="text1"/>
        </w:rPr>
        <w:noBreakHyphen/>
        <w:t>270, mutatis mutandis.”</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B.</w:t>
      </w:r>
      <w:r>
        <w:rPr>
          <w:u w:color="000000" w:themeColor="text1"/>
        </w:rPr>
        <w:tab/>
      </w:r>
      <w:r w:rsidRPr="00D46A5B">
        <w:rPr>
          <w:u w:color="000000" w:themeColor="text1"/>
        </w:rPr>
        <w:tab/>
        <w:t>Section 11</w:t>
      </w:r>
      <w:r w:rsidRPr="00D46A5B">
        <w:rPr>
          <w:u w:color="000000" w:themeColor="text1"/>
        </w:rPr>
        <w:noBreakHyphen/>
        <w:t>11</w:t>
      </w:r>
      <w:r w:rsidRPr="00D46A5B">
        <w:rPr>
          <w:u w:color="000000" w:themeColor="text1"/>
        </w:rPr>
        <w:noBreakHyphen/>
        <w:t>150(A)(3) of the 1976 Code is amended to read:</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Pr="00D46A5B"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“(3)</w:t>
      </w:r>
      <w:r w:rsidRPr="00D46A5B">
        <w:rPr>
          <w:u w:color="000000" w:themeColor="text1"/>
        </w:rPr>
        <w:tab/>
        <w:t>Section 12</w:t>
      </w:r>
      <w:r w:rsidRPr="00D46A5B">
        <w:rPr>
          <w:u w:color="000000" w:themeColor="text1"/>
        </w:rPr>
        <w:noBreakHyphen/>
        <w:t>37</w:t>
      </w:r>
      <w:r w:rsidRPr="00D46A5B">
        <w:rPr>
          <w:u w:color="000000" w:themeColor="text1"/>
        </w:rPr>
        <w:noBreakHyphen/>
        <w:t>935(B) for manufacturer’s additional depreciation</w:t>
      </w:r>
      <w:r w:rsidRPr="00D46A5B">
        <w:rPr>
          <w:u w:val="single" w:color="000000" w:themeColor="text1"/>
        </w:rPr>
        <w:t>, including such amounts credited to the V</w:t>
      </w:r>
      <w:r w:rsidRPr="00D46A5B">
        <w:rPr>
          <w:u w:val="single" w:color="000000" w:themeColor="text1"/>
        </w:rPr>
        <w:noBreakHyphen/>
        <w:t>SAFE program</w:t>
      </w:r>
      <w:r w:rsidRPr="00D46A5B">
        <w:rPr>
          <w:u w:color="000000" w:themeColor="text1"/>
        </w:rPr>
        <w:t>;”</w:t>
      </w: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658B4" w:rsidRDefault="006658B4"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SECTION</w:t>
      </w:r>
      <w:r w:rsidRPr="00D46A5B">
        <w:rPr>
          <w:u w:color="000000" w:themeColor="text1"/>
        </w:rPr>
        <w:tab/>
        <w:t>4.</w:t>
      </w:r>
      <w:r w:rsidRPr="00D46A5B">
        <w:rPr>
          <w:u w:color="000000" w:themeColor="text1"/>
        </w:rPr>
        <w:tab/>
        <w:t>This act takes effect July 1, 2022</w:t>
      </w:r>
    </w:p>
    <w:p w:rsidR="006658B4" w:rsidRDefault="006658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55E2" w:rsidRDefault="005F55E2" w:rsidP="0066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F55E2" w:rsidSect="00F12B5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3CCF0B4-F95A-4ECA-A6FD-5F964E2AB22B}"/>
    <w:embedBold r:id="rId2" w:fontKey="{2BFF5014-D400-483B-9596-71532FC7A6C9}"/>
    <w:embedItalic r:id="rId3" w:fontKey="{F269E016-9AF8-4677-BE3E-AD680CEB1806}"/>
  </w:font>
  <w:font w:name="Calibri">
    <w:panose1 w:val="020F0502020204030204"/>
    <w:charset w:val="00"/>
    <w:family w:val="swiss"/>
    <w:pitch w:val="variable"/>
    <w:sig w:usb0="E4002EFF" w:usb1="C000247B" w:usb2="00000009" w:usb3="00000000" w:csb0="000001FF" w:csb1="00000000"/>
    <w:embedRegular r:id="rId4" w:fontKey="{C9BB81D5-86BE-409A-8138-4E6FF807AABA}"/>
  </w:font>
  <w:font w:name="Cambria">
    <w:panose1 w:val="02040503050406030204"/>
    <w:charset w:val="00"/>
    <w:family w:val="roman"/>
    <w:pitch w:val="variable"/>
    <w:sig w:usb0="E00006FF" w:usb1="420024FF" w:usb2="02000000" w:usb3="00000000" w:csb0="0000019F" w:csb1="00000000"/>
    <w:embedRegular r:id="rId5" w:fontKey="{3B41C24E-9FFF-4523-BC36-491C62D441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58B4" w:rsidRPr="00DC5B4E" w:rsidRDefault="006658B4" w:rsidP="00DC5B4E">
    <w:pPr>
      <w:pStyle w:val="Footer"/>
      <w:tabs>
        <w:tab w:val="clear" w:pos="4680"/>
        <w:tab w:val="clear" w:pos="9360"/>
        <w:tab w:val="center" w:pos="2995"/>
      </w:tabs>
      <w:spacing w:before="120"/>
    </w:pPr>
    <w:r>
      <w:t>[3252-</w:t>
    </w:r>
    <w:r>
      <w:fldChar w:fldCharType="begin"/>
    </w:r>
    <w:r>
      <w:instrText xml:space="preserve"> PAGE  \* MERGEFORMAT </w:instrText>
    </w:r>
    <w:r>
      <w:fldChar w:fldCharType="separate"/>
    </w:r>
    <w:r>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12B50" w:rsidRPr="00DC5B4E" w:rsidRDefault="006658B4"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09C4"/>
    <w:rsid w:val="00011869"/>
    <w:rsid w:val="00012A02"/>
    <w:rsid w:val="00015CD6"/>
    <w:rsid w:val="00043E6A"/>
    <w:rsid w:val="000E0100"/>
    <w:rsid w:val="000E1785"/>
    <w:rsid w:val="000F40FA"/>
    <w:rsid w:val="001035F1"/>
    <w:rsid w:val="0010776B"/>
    <w:rsid w:val="00133E66"/>
    <w:rsid w:val="001435A3"/>
    <w:rsid w:val="00146ED3"/>
    <w:rsid w:val="00151044"/>
    <w:rsid w:val="001B3898"/>
    <w:rsid w:val="001D08F2"/>
    <w:rsid w:val="001D3A58"/>
    <w:rsid w:val="001D525B"/>
    <w:rsid w:val="001D7F4F"/>
    <w:rsid w:val="00205238"/>
    <w:rsid w:val="002321B6"/>
    <w:rsid w:val="00232912"/>
    <w:rsid w:val="00250967"/>
    <w:rsid w:val="002543C8"/>
    <w:rsid w:val="0025541D"/>
    <w:rsid w:val="00284AAE"/>
    <w:rsid w:val="002E158A"/>
    <w:rsid w:val="002E5912"/>
    <w:rsid w:val="00301B21"/>
    <w:rsid w:val="00325348"/>
    <w:rsid w:val="0032732C"/>
    <w:rsid w:val="00336AD0"/>
    <w:rsid w:val="0037079A"/>
    <w:rsid w:val="00371975"/>
    <w:rsid w:val="003C4DAB"/>
    <w:rsid w:val="003D01E8"/>
    <w:rsid w:val="003E5288"/>
    <w:rsid w:val="003F6D79"/>
    <w:rsid w:val="0041760A"/>
    <w:rsid w:val="00417C01"/>
    <w:rsid w:val="004403BD"/>
    <w:rsid w:val="00461441"/>
    <w:rsid w:val="004809EE"/>
    <w:rsid w:val="004D7575"/>
    <w:rsid w:val="004E7D54"/>
    <w:rsid w:val="004F402C"/>
    <w:rsid w:val="005273C6"/>
    <w:rsid w:val="00530A69"/>
    <w:rsid w:val="00545593"/>
    <w:rsid w:val="00556EBF"/>
    <w:rsid w:val="005629DF"/>
    <w:rsid w:val="00577C6C"/>
    <w:rsid w:val="005A62FE"/>
    <w:rsid w:val="005B41C1"/>
    <w:rsid w:val="005C2FE2"/>
    <w:rsid w:val="005D0045"/>
    <w:rsid w:val="005E057A"/>
    <w:rsid w:val="005E2BC9"/>
    <w:rsid w:val="005F55E2"/>
    <w:rsid w:val="00605102"/>
    <w:rsid w:val="006215AA"/>
    <w:rsid w:val="006658B4"/>
    <w:rsid w:val="006913C9"/>
    <w:rsid w:val="0069470D"/>
    <w:rsid w:val="006A070F"/>
    <w:rsid w:val="006D58AA"/>
    <w:rsid w:val="00734F00"/>
    <w:rsid w:val="00736959"/>
    <w:rsid w:val="0074097A"/>
    <w:rsid w:val="007A70AE"/>
    <w:rsid w:val="008348FC"/>
    <w:rsid w:val="008362E8"/>
    <w:rsid w:val="0085786E"/>
    <w:rsid w:val="008A1768"/>
    <w:rsid w:val="008A489F"/>
    <w:rsid w:val="008C08DE"/>
    <w:rsid w:val="008F0F33"/>
    <w:rsid w:val="008F4429"/>
    <w:rsid w:val="00915AB7"/>
    <w:rsid w:val="0094021A"/>
    <w:rsid w:val="0096339C"/>
    <w:rsid w:val="009B44AF"/>
    <w:rsid w:val="009C6A0B"/>
    <w:rsid w:val="009F0C77"/>
    <w:rsid w:val="009F4DD1"/>
    <w:rsid w:val="00A02543"/>
    <w:rsid w:val="00A41684"/>
    <w:rsid w:val="00A64E80"/>
    <w:rsid w:val="00A72BCD"/>
    <w:rsid w:val="00A741D9"/>
    <w:rsid w:val="00A833AB"/>
    <w:rsid w:val="00A9741D"/>
    <w:rsid w:val="00AA19DF"/>
    <w:rsid w:val="00AA2798"/>
    <w:rsid w:val="00AC34A2"/>
    <w:rsid w:val="00AD1C9A"/>
    <w:rsid w:val="00AD4B17"/>
    <w:rsid w:val="00B412D4"/>
    <w:rsid w:val="00B50BC1"/>
    <w:rsid w:val="00B64FFF"/>
    <w:rsid w:val="00BE3C22"/>
    <w:rsid w:val="00C0345E"/>
    <w:rsid w:val="00C1403D"/>
    <w:rsid w:val="00C21ABE"/>
    <w:rsid w:val="00C31C95"/>
    <w:rsid w:val="00C3483A"/>
    <w:rsid w:val="00C74E9D"/>
    <w:rsid w:val="00C826DD"/>
    <w:rsid w:val="00C82FD3"/>
    <w:rsid w:val="00C92819"/>
    <w:rsid w:val="00CC6B7B"/>
    <w:rsid w:val="00CD2089"/>
    <w:rsid w:val="00D01A9F"/>
    <w:rsid w:val="00D60118"/>
    <w:rsid w:val="00D73A67"/>
    <w:rsid w:val="00D970A9"/>
    <w:rsid w:val="00DA0F8B"/>
    <w:rsid w:val="00DC5B4E"/>
    <w:rsid w:val="00DE376F"/>
    <w:rsid w:val="00DF047E"/>
    <w:rsid w:val="00DF3845"/>
    <w:rsid w:val="00E41911"/>
    <w:rsid w:val="00E44B57"/>
    <w:rsid w:val="00E7034D"/>
    <w:rsid w:val="00E92EEF"/>
    <w:rsid w:val="00E9714A"/>
    <w:rsid w:val="00ED67D9"/>
    <w:rsid w:val="00EF2368"/>
    <w:rsid w:val="00F24442"/>
    <w:rsid w:val="00F50AE3"/>
    <w:rsid w:val="00F655B7"/>
    <w:rsid w:val="00F656BA"/>
    <w:rsid w:val="00F67CF1"/>
    <w:rsid w:val="00F728AA"/>
    <w:rsid w:val="00F840F0"/>
    <w:rsid w:val="00FA202E"/>
    <w:rsid w:val="00FA3F8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5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406.docx" TargetMode="External"/><Relationship Id="rId18" Type="http://schemas.openxmlformats.org/officeDocument/2006/relationships/hyperlink" Target="file:///p:\pprever\2021-22\3252_20201209.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21-22\3252_20220405.docx" TargetMode="External"/><Relationship Id="rId7" Type="http://schemas.openxmlformats.org/officeDocument/2006/relationships/hyperlink" Target="file:///h:\hj\20210112.docx" TargetMode="External"/><Relationship Id="rId12" Type="http://schemas.openxmlformats.org/officeDocument/2006/relationships/hyperlink" Target="file:///h:\hj\20220406.docx" TargetMode="External"/><Relationship Id="rId17" Type="http://schemas.openxmlformats.org/officeDocument/2006/relationships/hyperlink" Target="http://www.scstatehouse.gov/billsearch.php?billnumbers=3252&amp;session=124&amp;summary=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220407.docx" TargetMode="External"/><Relationship Id="rId20" Type="http://schemas.openxmlformats.org/officeDocument/2006/relationships/hyperlink" Target="file:///p:\pprever\2021-22\3252_202203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406.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220407.docx" TargetMode="External"/><Relationship Id="rId23" Type="http://schemas.openxmlformats.org/officeDocument/2006/relationships/hyperlink" Target="file:///p:\pprever\2021-22\3252_20220407.docx" TargetMode="External"/><Relationship Id="rId10" Type="http://schemas.openxmlformats.org/officeDocument/2006/relationships/hyperlink" Target="file:///h:\hj\20220405.docx" TargetMode="External"/><Relationship Id="rId19" Type="http://schemas.openxmlformats.org/officeDocument/2006/relationships/hyperlink" Target="file:///p:\pprever\2021-22\3252_20220126.docx" TargetMode="External"/><Relationship Id="rId4" Type="http://schemas.openxmlformats.org/officeDocument/2006/relationships/webSettings" Target="webSettings.xml"/><Relationship Id="rId9" Type="http://schemas.openxmlformats.org/officeDocument/2006/relationships/hyperlink" Target="file:///h:\hj\20220331.docx" TargetMode="External"/><Relationship Id="rId14" Type="http://schemas.openxmlformats.org/officeDocument/2006/relationships/hyperlink" Target="file:///h:\hj\20220406.docx" TargetMode="External"/><Relationship Id="rId22" Type="http://schemas.openxmlformats.org/officeDocument/2006/relationships/hyperlink" Target="file:///p:\pprever\2021-22\3252_20220406.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8AD96-5306-464B-877A-64972AB24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Subject not yet available - South Carolina Legislature Online</dc:title>
  <dc:creator>Niki Downey</dc:creator>
  <cp:lastModifiedBy>Sade Wilson</cp:lastModifiedBy>
  <cp:revision>2</cp:revision>
  <cp:lastPrinted>2020-12-01T18:20:00Z</cp:lastPrinted>
  <dcterms:created xsi:type="dcterms:W3CDTF">2022-04-07T18:57:00Z</dcterms:created>
  <dcterms:modified xsi:type="dcterms:W3CDTF">2022-04-07T18:57:00Z</dcterms:modified>
</cp:coreProperties>
</file>