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778" w:rsidRDefault="00846778" w:rsidP="00846778">
      <w:pPr>
        <w:widowControl w:val="0"/>
        <w:jc w:val="center"/>
      </w:pPr>
      <w:r w:rsidRPr="00846778">
        <w:rPr>
          <w:b/>
        </w:rPr>
        <w:t>South Carolina General Assembly</w:t>
      </w:r>
    </w:p>
    <w:p w:rsidR="00846778" w:rsidRDefault="00846778" w:rsidP="00846778">
      <w:pPr>
        <w:widowControl w:val="0"/>
        <w:jc w:val="center"/>
      </w:pPr>
      <w:r>
        <w:t>124th Session, 2021-2022</w:t>
      </w:r>
    </w:p>
    <w:p w:rsidR="00846778" w:rsidRDefault="00846778" w:rsidP="00846778">
      <w:pPr>
        <w:widowControl w:val="0"/>
        <w:jc w:val="left"/>
      </w:pPr>
    </w:p>
    <w:p w:rsidR="00846778" w:rsidRDefault="00846778" w:rsidP="00846778">
      <w:pPr>
        <w:widowControl w:val="0"/>
        <w:jc w:val="left"/>
        <w:rPr>
          <w:b/>
        </w:rPr>
      </w:pPr>
      <w:r w:rsidRPr="00846778">
        <w:rPr>
          <w:b/>
        </w:rPr>
        <w:t>H. 3610</w:t>
      </w:r>
    </w:p>
    <w:p w:rsidR="00846778" w:rsidRDefault="00846778" w:rsidP="00846778">
      <w:pPr>
        <w:widowControl w:val="0"/>
        <w:jc w:val="left"/>
        <w:rPr>
          <w:b/>
        </w:rPr>
      </w:pPr>
    </w:p>
    <w:p w:rsidR="00846778" w:rsidRDefault="00846778" w:rsidP="00846778">
      <w:pPr>
        <w:widowControl w:val="0"/>
        <w:jc w:val="left"/>
      </w:pPr>
      <w:r w:rsidRPr="00846778">
        <w:rPr>
          <w:b/>
        </w:rPr>
        <w:t>STATUS INFORMATION</w:t>
      </w:r>
    </w:p>
    <w:p w:rsidR="00846778" w:rsidRDefault="00846778" w:rsidP="00846778">
      <w:pPr>
        <w:widowControl w:val="0"/>
        <w:jc w:val="left"/>
      </w:pPr>
    </w:p>
    <w:p w:rsidR="00846778" w:rsidRDefault="00846778" w:rsidP="00846778">
      <w:pPr>
        <w:widowControl w:val="0"/>
        <w:jc w:val="left"/>
      </w:pPr>
      <w:r>
        <w:t>General Bill</w:t>
      </w:r>
    </w:p>
    <w:p w:rsidR="00846778" w:rsidRDefault="006D7FDE" w:rsidP="00846778">
      <w:pPr>
        <w:widowControl w:val="0"/>
        <w:jc w:val="left"/>
      </w:pPr>
      <w:r>
        <w:t>Sponsors: Reps. Lucas, Allison, Felder, Hixon, Taylor, Calhoon and W. Newton</w:t>
      </w:r>
    </w:p>
    <w:p w:rsidR="00846778" w:rsidRDefault="00846778" w:rsidP="00846778">
      <w:pPr>
        <w:widowControl w:val="0"/>
        <w:jc w:val="left"/>
      </w:pPr>
      <w:r>
        <w:t>Document Path: l:\council\bills\rt\17857wab21.docx</w:t>
      </w:r>
    </w:p>
    <w:p w:rsidR="008B27B3" w:rsidRDefault="008B27B3" w:rsidP="00846778">
      <w:pPr>
        <w:widowControl w:val="0"/>
        <w:jc w:val="left"/>
      </w:pPr>
      <w:r>
        <w:t>Companion/Similar bill(s): 201</w:t>
      </w:r>
    </w:p>
    <w:p w:rsidR="00846778" w:rsidRDefault="00846778" w:rsidP="00846778">
      <w:pPr>
        <w:widowControl w:val="0"/>
        <w:jc w:val="left"/>
      </w:pPr>
    </w:p>
    <w:p w:rsidR="00B120D7" w:rsidRDefault="00B120D7" w:rsidP="00846778">
      <w:pPr>
        <w:widowControl w:val="0"/>
        <w:jc w:val="left"/>
      </w:pPr>
      <w:r>
        <w:t>Introduced in the House on January 12, 2021</w:t>
      </w:r>
    </w:p>
    <w:p w:rsidR="00B120D7" w:rsidRDefault="00B120D7" w:rsidP="00846778">
      <w:pPr>
        <w:widowControl w:val="0"/>
        <w:jc w:val="left"/>
      </w:pPr>
      <w:r>
        <w:t>Introduced in the Senate on February 24, 2021</w:t>
      </w:r>
    </w:p>
    <w:p w:rsidR="00B120D7" w:rsidRDefault="00B120D7" w:rsidP="00846778">
      <w:pPr>
        <w:widowControl w:val="0"/>
        <w:jc w:val="left"/>
      </w:pPr>
      <w:r>
        <w:t>Last Amended on February 18, 2021</w:t>
      </w:r>
    </w:p>
    <w:p w:rsidR="00B120D7" w:rsidRPr="00B120D7" w:rsidRDefault="00B120D7" w:rsidP="00846778">
      <w:pPr>
        <w:widowControl w:val="0"/>
        <w:jc w:val="left"/>
      </w:pPr>
      <w:r>
        <w:t xml:space="preserve">Currently residing in the Senate Committee on </w:t>
      </w:r>
      <w:r w:rsidRPr="00B120D7">
        <w:rPr>
          <w:b/>
        </w:rPr>
        <w:t>Education</w:t>
      </w:r>
    </w:p>
    <w:p w:rsidR="00B120D7" w:rsidRDefault="00B120D7" w:rsidP="00846778">
      <w:pPr>
        <w:widowControl w:val="0"/>
        <w:jc w:val="left"/>
      </w:pPr>
    </w:p>
    <w:p w:rsidR="00846778" w:rsidRDefault="00BD6FDC" w:rsidP="00846778">
      <w:pPr>
        <w:widowControl w:val="0"/>
        <w:jc w:val="left"/>
      </w:pPr>
      <w:r>
        <w:t>Summary: Public schools</w:t>
      </w:r>
    </w:p>
    <w:p w:rsidR="00846778" w:rsidRDefault="00846778" w:rsidP="00846778">
      <w:pPr>
        <w:widowControl w:val="0"/>
        <w:jc w:val="left"/>
      </w:pPr>
    </w:p>
    <w:p w:rsidR="00846778" w:rsidRDefault="00846778" w:rsidP="00846778">
      <w:pPr>
        <w:widowControl w:val="0"/>
        <w:jc w:val="left"/>
      </w:pPr>
    </w:p>
    <w:p w:rsidR="00846778" w:rsidRDefault="00846778" w:rsidP="00846778">
      <w:pPr>
        <w:widowControl w:val="0"/>
        <w:tabs>
          <w:tab w:val="center" w:pos="590"/>
          <w:tab w:val="center" w:pos="1440"/>
          <w:tab w:val="left" w:pos="1872"/>
          <w:tab w:val="left" w:pos="9187"/>
        </w:tabs>
        <w:jc w:val="left"/>
      </w:pPr>
      <w:r w:rsidRPr="00846778">
        <w:rPr>
          <w:b/>
        </w:rPr>
        <w:t>HISTORY OF LEGISLATIVE ACTIONS</w:t>
      </w:r>
    </w:p>
    <w:p w:rsidR="00846778" w:rsidRDefault="00846778" w:rsidP="00846778">
      <w:pPr>
        <w:widowControl w:val="0"/>
        <w:tabs>
          <w:tab w:val="center" w:pos="590"/>
          <w:tab w:val="center" w:pos="1440"/>
          <w:tab w:val="left" w:pos="1872"/>
          <w:tab w:val="left" w:pos="9187"/>
        </w:tabs>
        <w:jc w:val="left"/>
      </w:pPr>
    </w:p>
    <w:p w:rsidR="00846778" w:rsidRPr="00846778" w:rsidRDefault="00846778" w:rsidP="00846778">
      <w:pPr>
        <w:widowControl w:val="0"/>
        <w:tabs>
          <w:tab w:val="center" w:pos="590"/>
          <w:tab w:val="center" w:pos="1440"/>
          <w:tab w:val="left" w:pos="1872"/>
          <w:tab w:val="left" w:pos="9187"/>
        </w:tabs>
        <w:jc w:val="left"/>
      </w:pPr>
      <w:r w:rsidRPr="00846778">
        <w:rPr>
          <w:u w:val="single"/>
        </w:rPr>
        <w:tab/>
        <w:t>Date</w:t>
      </w:r>
      <w:r w:rsidRPr="00846778">
        <w:rPr>
          <w:u w:val="single"/>
        </w:rPr>
        <w:tab/>
        <w:t>Body</w:t>
      </w:r>
      <w:r w:rsidRPr="00846778">
        <w:rPr>
          <w:u w:val="single"/>
        </w:rPr>
        <w:tab/>
        <w:t>Action Description with journal page number</w:t>
      </w:r>
      <w:r w:rsidRPr="00846778">
        <w:rPr>
          <w:u w:val="single"/>
        </w:rPr>
        <w:tab/>
      </w:r>
    </w:p>
    <w:p w:rsidR="003131FA" w:rsidRDefault="003131FA" w:rsidP="003131F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16E66">
          <w:rPr>
            <w:rStyle w:val="Hyperlink"/>
          </w:rPr>
          <w:t>House Journal</w:t>
        </w:r>
        <w:r w:rsidRPr="00216E66">
          <w:rPr>
            <w:rStyle w:val="Hyperlink"/>
          </w:rPr>
          <w:noBreakHyphen/>
          <w:t>page 257</w:t>
        </w:r>
      </w:hyperlink>
      <w:r>
        <w:t>)</w:t>
      </w:r>
    </w:p>
    <w:p w:rsidR="003131FA" w:rsidRDefault="003131FA" w:rsidP="003131F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16E66">
        <w:rPr>
          <w:b/>
        </w:rPr>
        <w:t>Education and Public Works</w:t>
      </w:r>
      <w:r>
        <w:t xml:space="preserve"> (</w:t>
      </w:r>
      <w:hyperlink r:id="rId8" w:history="1">
        <w:r w:rsidRPr="00216E66">
          <w:rPr>
            <w:rStyle w:val="Hyperlink"/>
          </w:rPr>
          <w:t>House Journal</w:t>
        </w:r>
        <w:r w:rsidRPr="00216E66">
          <w:rPr>
            <w:rStyle w:val="Hyperlink"/>
          </w:rPr>
          <w:noBreakHyphen/>
          <w:t>page 257</w:t>
        </w:r>
      </w:hyperlink>
      <w:r>
        <w:t>)</w:t>
      </w:r>
    </w:p>
    <w:p w:rsidR="003131FA" w:rsidRDefault="003131FA" w:rsidP="003131FA">
      <w:pPr>
        <w:widowControl w:val="0"/>
        <w:tabs>
          <w:tab w:val="right" w:pos="1008"/>
          <w:tab w:val="left" w:pos="1152"/>
          <w:tab w:val="left" w:pos="1872"/>
          <w:tab w:val="left" w:pos="9187"/>
        </w:tabs>
        <w:ind w:left="2088" w:hanging="2088"/>
      </w:pPr>
      <w:r>
        <w:tab/>
        <w:t>2/2/2021</w:t>
      </w:r>
      <w:r>
        <w:tab/>
        <w:t>House</w:t>
      </w:r>
      <w:r>
        <w:tab/>
        <w:t>Member(s) request name added as sponsor: Felder</w:t>
      </w:r>
    </w:p>
    <w:p w:rsidR="003131FA" w:rsidRDefault="003131FA" w:rsidP="003131FA">
      <w:pPr>
        <w:widowControl w:val="0"/>
        <w:tabs>
          <w:tab w:val="right" w:pos="1008"/>
          <w:tab w:val="left" w:pos="1152"/>
          <w:tab w:val="left" w:pos="1872"/>
          <w:tab w:val="left" w:pos="9187"/>
        </w:tabs>
        <w:ind w:left="2088" w:hanging="2088"/>
      </w:pPr>
      <w:r>
        <w:tab/>
        <w:t>2/11/2021</w:t>
      </w:r>
      <w:r>
        <w:tab/>
        <w:t>House</w:t>
      </w:r>
      <w:r>
        <w:tab/>
        <w:t xml:space="preserve">Committee report: Favorable with amendment </w:t>
      </w:r>
      <w:r w:rsidRPr="00216E66">
        <w:rPr>
          <w:b/>
        </w:rPr>
        <w:t>Education and Public Works</w:t>
      </w:r>
      <w:r>
        <w:t xml:space="preserve"> (</w:t>
      </w:r>
      <w:hyperlink r:id="rId9" w:history="1">
        <w:r w:rsidRPr="00216E66">
          <w:rPr>
            <w:rStyle w:val="Hyperlink"/>
          </w:rPr>
          <w:t>House Journal</w:t>
        </w:r>
        <w:r w:rsidRPr="00216E66">
          <w:rPr>
            <w:rStyle w:val="Hyperlink"/>
          </w:rPr>
          <w:noBreakHyphen/>
          <w:t>page 16</w:t>
        </w:r>
      </w:hyperlink>
      <w:r>
        <w:t>)</w:t>
      </w:r>
    </w:p>
    <w:p w:rsidR="003131FA" w:rsidRDefault="003131FA" w:rsidP="003131FA">
      <w:pPr>
        <w:widowControl w:val="0"/>
        <w:tabs>
          <w:tab w:val="right" w:pos="1008"/>
          <w:tab w:val="left" w:pos="1152"/>
          <w:tab w:val="left" w:pos="1872"/>
          <w:tab w:val="left" w:pos="9187"/>
        </w:tabs>
        <w:ind w:left="2088" w:hanging="2088"/>
      </w:pPr>
      <w:r>
        <w:tab/>
        <w:t>2/12/2021</w:t>
      </w:r>
      <w:r>
        <w:tab/>
      </w:r>
      <w:r>
        <w:tab/>
        <w:t>Scrivener's error corrected</w:t>
      </w:r>
    </w:p>
    <w:p w:rsidR="003131FA" w:rsidRDefault="003131FA" w:rsidP="003131FA">
      <w:pPr>
        <w:widowControl w:val="0"/>
        <w:tabs>
          <w:tab w:val="right" w:pos="1008"/>
          <w:tab w:val="left" w:pos="1152"/>
          <w:tab w:val="left" w:pos="1872"/>
          <w:tab w:val="left" w:pos="9187"/>
        </w:tabs>
        <w:ind w:left="2088" w:hanging="2088"/>
      </w:pPr>
      <w:r>
        <w:tab/>
        <w:t>2/16/2021</w:t>
      </w:r>
      <w:r>
        <w:tab/>
        <w:t>House</w:t>
      </w:r>
      <w:r>
        <w:tab/>
        <w:t>Member(s) request name added as sponsor: Hixon, Taylor, Calhoon</w:t>
      </w:r>
    </w:p>
    <w:p w:rsidR="003131FA" w:rsidRDefault="003131FA" w:rsidP="003131FA">
      <w:pPr>
        <w:widowControl w:val="0"/>
        <w:tabs>
          <w:tab w:val="right" w:pos="1008"/>
          <w:tab w:val="left" w:pos="1152"/>
          <w:tab w:val="left" w:pos="1872"/>
          <w:tab w:val="left" w:pos="9187"/>
        </w:tabs>
        <w:ind w:left="2088" w:hanging="2088"/>
      </w:pPr>
      <w:r>
        <w:tab/>
        <w:t>2/17/2021</w:t>
      </w:r>
      <w:r>
        <w:tab/>
        <w:t>House</w:t>
      </w:r>
      <w:r>
        <w:tab/>
        <w:t>Requests for debate</w:t>
      </w:r>
      <w:r>
        <w:noBreakHyphen/>
        <w:t>Rep(s).  Allison, Felder, Kirby, Brawley, Govan, Matthews, Hart, Tedder, Gatch (</w:t>
      </w:r>
      <w:hyperlink r:id="rId10" w:history="1">
        <w:r w:rsidRPr="00216E66">
          <w:rPr>
            <w:rStyle w:val="Hyperlink"/>
          </w:rPr>
          <w:t>House Journal</w:t>
        </w:r>
        <w:r w:rsidRPr="00216E66">
          <w:rPr>
            <w:rStyle w:val="Hyperlink"/>
          </w:rPr>
          <w:noBreakHyphen/>
          <w:t>page 21</w:t>
        </w:r>
      </w:hyperlink>
      <w:r>
        <w:t>)</w:t>
      </w:r>
    </w:p>
    <w:p w:rsidR="003131FA" w:rsidRDefault="003131FA" w:rsidP="003131FA">
      <w:pPr>
        <w:widowControl w:val="0"/>
        <w:tabs>
          <w:tab w:val="right" w:pos="1008"/>
          <w:tab w:val="left" w:pos="1152"/>
          <w:tab w:val="left" w:pos="1872"/>
          <w:tab w:val="left" w:pos="9187"/>
        </w:tabs>
        <w:ind w:left="2088" w:hanging="2088"/>
      </w:pPr>
      <w:r>
        <w:tab/>
        <w:t>2/18/2021</w:t>
      </w:r>
      <w:r>
        <w:tab/>
        <w:t>House</w:t>
      </w:r>
      <w:r>
        <w:tab/>
        <w:t>Member(s) request name added as sponsor: W.Newton</w:t>
      </w:r>
    </w:p>
    <w:p w:rsidR="003131FA" w:rsidRDefault="003131FA" w:rsidP="003131FA">
      <w:pPr>
        <w:widowControl w:val="0"/>
        <w:tabs>
          <w:tab w:val="right" w:pos="1008"/>
          <w:tab w:val="left" w:pos="1152"/>
          <w:tab w:val="left" w:pos="1872"/>
          <w:tab w:val="left" w:pos="9187"/>
        </w:tabs>
        <w:ind w:left="2088" w:hanging="2088"/>
      </w:pPr>
      <w:r>
        <w:tab/>
        <w:t>2/18/2021</w:t>
      </w:r>
      <w:r>
        <w:tab/>
        <w:t>House</w:t>
      </w:r>
      <w:r>
        <w:tab/>
        <w:t>Amended (</w:t>
      </w:r>
      <w:hyperlink r:id="rId11" w:history="1">
        <w:r w:rsidRPr="00216E66">
          <w:rPr>
            <w:rStyle w:val="Hyperlink"/>
          </w:rPr>
          <w:t>House Journal</w:t>
        </w:r>
        <w:r w:rsidRPr="00216E66">
          <w:rPr>
            <w:rStyle w:val="Hyperlink"/>
          </w:rPr>
          <w:noBreakHyphen/>
          <w:t>page 80</w:t>
        </w:r>
      </w:hyperlink>
      <w:r>
        <w:t>)</w:t>
      </w:r>
    </w:p>
    <w:p w:rsidR="003131FA" w:rsidRDefault="003131FA" w:rsidP="003131FA">
      <w:pPr>
        <w:widowControl w:val="0"/>
        <w:tabs>
          <w:tab w:val="right" w:pos="1008"/>
          <w:tab w:val="left" w:pos="1152"/>
          <w:tab w:val="left" w:pos="1872"/>
          <w:tab w:val="left" w:pos="9187"/>
        </w:tabs>
        <w:ind w:left="2088" w:hanging="2088"/>
      </w:pPr>
      <w:r>
        <w:tab/>
        <w:t>2/18/2021</w:t>
      </w:r>
      <w:r>
        <w:tab/>
        <w:t>House</w:t>
      </w:r>
      <w:r>
        <w:tab/>
        <w:t>Read second time (</w:t>
      </w:r>
      <w:hyperlink r:id="rId12" w:history="1">
        <w:r w:rsidRPr="00216E66">
          <w:rPr>
            <w:rStyle w:val="Hyperlink"/>
          </w:rPr>
          <w:t>House Journal</w:t>
        </w:r>
        <w:r w:rsidRPr="00216E66">
          <w:rPr>
            <w:rStyle w:val="Hyperlink"/>
          </w:rPr>
          <w:noBreakHyphen/>
          <w:t>page 92</w:t>
        </w:r>
      </w:hyperlink>
      <w:r>
        <w:t>)</w:t>
      </w:r>
    </w:p>
    <w:p w:rsidR="003131FA" w:rsidRDefault="003131FA" w:rsidP="003131FA">
      <w:pPr>
        <w:widowControl w:val="0"/>
        <w:tabs>
          <w:tab w:val="right" w:pos="1008"/>
          <w:tab w:val="left" w:pos="1152"/>
          <w:tab w:val="left" w:pos="1872"/>
          <w:tab w:val="left" w:pos="9187"/>
        </w:tabs>
        <w:ind w:left="2088" w:hanging="2088"/>
      </w:pPr>
      <w:r>
        <w:tab/>
        <w:t>2/18/2021</w:t>
      </w:r>
      <w:r>
        <w:tab/>
        <w:t>House</w:t>
      </w:r>
      <w:r>
        <w:tab/>
        <w:t>Roll call Yeas</w:t>
      </w:r>
      <w:r>
        <w:noBreakHyphen/>
        <w:t>73  Nays</w:t>
      </w:r>
      <w:r>
        <w:noBreakHyphen/>
        <w:t>21 (</w:t>
      </w:r>
      <w:hyperlink r:id="rId13" w:history="1">
        <w:r w:rsidRPr="00216E66">
          <w:rPr>
            <w:rStyle w:val="Hyperlink"/>
          </w:rPr>
          <w:t>House Journal</w:t>
        </w:r>
        <w:r w:rsidRPr="00216E66">
          <w:rPr>
            <w:rStyle w:val="Hyperlink"/>
          </w:rPr>
          <w:noBreakHyphen/>
          <w:t>page 92</w:t>
        </w:r>
      </w:hyperlink>
      <w:r>
        <w:t>)</w:t>
      </w:r>
    </w:p>
    <w:p w:rsidR="003131FA" w:rsidRDefault="003131FA" w:rsidP="003131FA">
      <w:pPr>
        <w:widowControl w:val="0"/>
        <w:tabs>
          <w:tab w:val="right" w:pos="1008"/>
          <w:tab w:val="left" w:pos="1152"/>
          <w:tab w:val="left" w:pos="1872"/>
          <w:tab w:val="left" w:pos="9187"/>
        </w:tabs>
        <w:ind w:left="2088" w:hanging="2088"/>
      </w:pPr>
      <w:r>
        <w:tab/>
        <w:t>2/19/2021</w:t>
      </w:r>
      <w:r>
        <w:tab/>
      </w:r>
      <w:r>
        <w:tab/>
        <w:t>Scrivener's error corrected</w:t>
      </w:r>
    </w:p>
    <w:p w:rsidR="003131FA" w:rsidRDefault="003131FA" w:rsidP="003131FA">
      <w:pPr>
        <w:widowControl w:val="0"/>
        <w:tabs>
          <w:tab w:val="right" w:pos="1008"/>
          <w:tab w:val="left" w:pos="1152"/>
          <w:tab w:val="left" w:pos="1872"/>
          <w:tab w:val="left" w:pos="9187"/>
        </w:tabs>
        <w:ind w:left="2088" w:hanging="2088"/>
      </w:pPr>
      <w:r>
        <w:tab/>
        <w:t>2/23/2021</w:t>
      </w:r>
      <w:r>
        <w:tab/>
        <w:t>House</w:t>
      </w:r>
      <w:r>
        <w:tab/>
        <w:t>Read third time and sent to Senate (</w:t>
      </w:r>
      <w:hyperlink r:id="rId14" w:history="1">
        <w:r w:rsidRPr="00216E66">
          <w:rPr>
            <w:rStyle w:val="Hyperlink"/>
          </w:rPr>
          <w:t>House Journal</w:t>
        </w:r>
        <w:r w:rsidRPr="00216E66">
          <w:rPr>
            <w:rStyle w:val="Hyperlink"/>
          </w:rPr>
          <w:noBreakHyphen/>
          <w:t>page 36</w:t>
        </w:r>
      </w:hyperlink>
      <w:r>
        <w:t>)</w:t>
      </w:r>
    </w:p>
    <w:p w:rsidR="003131FA" w:rsidRDefault="003131FA" w:rsidP="003131FA">
      <w:pPr>
        <w:widowControl w:val="0"/>
        <w:tabs>
          <w:tab w:val="right" w:pos="1008"/>
          <w:tab w:val="left" w:pos="1152"/>
          <w:tab w:val="left" w:pos="1872"/>
          <w:tab w:val="left" w:pos="9187"/>
        </w:tabs>
        <w:ind w:left="2088" w:hanging="2088"/>
      </w:pPr>
      <w:r>
        <w:tab/>
        <w:t>2/23/2021</w:t>
      </w:r>
      <w:r>
        <w:tab/>
        <w:t>House</w:t>
      </w:r>
      <w:r>
        <w:tab/>
        <w:t>Roll call Yeas</w:t>
      </w:r>
      <w:r>
        <w:noBreakHyphen/>
        <w:t>91  Nays</w:t>
      </w:r>
      <w:r>
        <w:noBreakHyphen/>
        <w:t>18 (</w:t>
      </w:r>
      <w:hyperlink r:id="rId15" w:history="1">
        <w:r w:rsidRPr="00216E66">
          <w:rPr>
            <w:rStyle w:val="Hyperlink"/>
          </w:rPr>
          <w:t>House Journal</w:t>
        </w:r>
        <w:r w:rsidRPr="00216E66">
          <w:rPr>
            <w:rStyle w:val="Hyperlink"/>
          </w:rPr>
          <w:noBreakHyphen/>
          <w:t>page 36</w:t>
        </w:r>
      </w:hyperlink>
      <w:r>
        <w:t>)</w:t>
      </w:r>
    </w:p>
    <w:p w:rsidR="003131FA" w:rsidRDefault="003131FA" w:rsidP="003131FA">
      <w:pPr>
        <w:widowControl w:val="0"/>
        <w:tabs>
          <w:tab w:val="right" w:pos="1008"/>
          <w:tab w:val="left" w:pos="1152"/>
          <w:tab w:val="left" w:pos="1872"/>
          <w:tab w:val="left" w:pos="9187"/>
        </w:tabs>
        <w:ind w:left="2088" w:hanging="2088"/>
      </w:pPr>
      <w:r>
        <w:tab/>
        <w:t>2/24/2021</w:t>
      </w:r>
      <w:r>
        <w:tab/>
        <w:t>Senate</w:t>
      </w:r>
      <w:r>
        <w:tab/>
        <w:t>Introduced and read first time (</w:t>
      </w:r>
      <w:hyperlink r:id="rId16" w:history="1">
        <w:r w:rsidRPr="00216E66">
          <w:rPr>
            <w:rStyle w:val="Hyperlink"/>
          </w:rPr>
          <w:t>Senate Journal</w:t>
        </w:r>
        <w:r w:rsidRPr="00216E66">
          <w:rPr>
            <w:rStyle w:val="Hyperlink"/>
          </w:rPr>
          <w:noBreakHyphen/>
          <w:t>page 9</w:t>
        </w:r>
      </w:hyperlink>
      <w:r>
        <w:t>)</w:t>
      </w:r>
    </w:p>
    <w:p w:rsidR="003131FA" w:rsidRDefault="003131FA" w:rsidP="003131FA">
      <w:pPr>
        <w:widowControl w:val="0"/>
        <w:tabs>
          <w:tab w:val="right" w:pos="1008"/>
          <w:tab w:val="left" w:pos="1152"/>
          <w:tab w:val="left" w:pos="1872"/>
          <w:tab w:val="left" w:pos="9187"/>
        </w:tabs>
        <w:ind w:left="2088" w:hanging="2088"/>
      </w:pPr>
      <w:r>
        <w:tab/>
        <w:t>2/24/2021</w:t>
      </w:r>
      <w:r>
        <w:tab/>
        <w:t>Senate</w:t>
      </w:r>
      <w:r>
        <w:tab/>
        <w:t xml:space="preserve">Referred to Committee on </w:t>
      </w:r>
      <w:r w:rsidRPr="00216E66">
        <w:rPr>
          <w:b/>
        </w:rPr>
        <w:t>Education</w:t>
      </w:r>
      <w:r>
        <w:t xml:space="preserve"> (</w:t>
      </w:r>
      <w:hyperlink r:id="rId17" w:history="1">
        <w:r w:rsidRPr="00216E66">
          <w:rPr>
            <w:rStyle w:val="Hyperlink"/>
          </w:rPr>
          <w:t>Senate Journal</w:t>
        </w:r>
        <w:r w:rsidRPr="00216E66">
          <w:rPr>
            <w:rStyle w:val="Hyperlink"/>
          </w:rPr>
          <w:noBreakHyphen/>
          <w:t>page 9</w:t>
        </w:r>
      </w:hyperlink>
      <w:r>
        <w:t>)</w:t>
      </w:r>
    </w:p>
    <w:p w:rsidR="003131FA" w:rsidRDefault="003131FA" w:rsidP="003131FA">
      <w:pPr>
        <w:widowControl w:val="0"/>
        <w:tabs>
          <w:tab w:val="right" w:pos="1008"/>
          <w:tab w:val="left" w:pos="1152"/>
          <w:tab w:val="left" w:pos="1872"/>
          <w:tab w:val="left" w:pos="9187"/>
        </w:tabs>
        <w:ind w:left="2088" w:hanging="2088"/>
      </w:pPr>
    </w:p>
    <w:p w:rsidR="00846778" w:rsidRDefault="00846778" w:rsidP="008467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846778">
          <w:rPr>
            <w:rStyle w:val="Hyperlink"/>
          </w:rPr>
          <w:t>legislative information</w:t>
        </w:r>
      </w:hyperlink>
      <w:r>
        <w:t xml:space="preserve"> at the website</w:t>
      </w:r>
    </w:p>
    <w:p w:rsidR="00846778" w:rsidRDefault="00846778" w:rsidP="00846778">
      <w:pPr>
        <w:widowControl w:val="0"/>
        <w:tabs>
          <w:tab w:val="right" w:pos="1008"/>
          <w:tab w:val="left" w:pos="1152"/>
          <w:tab w:val="left" w:pos="1872"/>
          <w:tab w:val="left" w:pos="9187"/>
        </w:tabs>
        <w:ind w:left="2088" w:hanging="2088"/>
        <w:jc w:val="left"/>
      </w:pPr>
    </w:p>
    <w:p w:rsidR="00846778" w:rsidRPr="00846778" w:rsidRDefault="00846778" w:rsidP="00846778">
      <w:pPr>
        <w:widowControl w:val="0"/>
        <w:tabs>
          <w:tab w:val="right" w:pos="1008"/>
          <w:tab w:val="left" w:pos="1152"/>
          <w:tab w:val="left" w:pos="1872"/>
          <w:tab w:val="left" w:pos="9187"/>
        </w:tabs>
        <w:ind w:left="2088" w:hanging="2088"/>
        <w:jc w:val="left"/>
      </w:pPr>
    </w:p>
    <w:p w:rsidR="00846778" w:rsidRDefault="00846778" w:rsidP="00846778">
      <w:pPr>
        <w:widowControl w:val="0"/>
        <w:jc w:val="left"/>
      </w:pPr>
      <w:r w:rsidRPr="00846778">
        <w:rPr>
          <w:b/>
        </w:rPr>
        <w:t>VERSIONS OF THIS BILL</w:t>
      </w:r>
    </w:p>
    <w:p w:rsidR="00846778" w:rsidRDefault="00846778" w:rsidP="00846778">
      <w:pPr>
        <w:widowControl w:val="0"/>
        <w:jc w:val="left"/>
      </w:pPr>
    </w:p>
    <w:p w:rsidR="00846778" w:rsidRDefault="006D7BED" w:rsidP="00846778">
      <w:pPr>
        <w:widowControl w:val="0"/>
        <w:jc w:val="left"/>
      </w:pPr>
      <w:hyperlink r:id="rId19" w:history="1">
        <w:r w:rsidR="00846778">
          <w:rPr>
            <w:rStyle w:val="Hyperlink"/>
          </w:rPr>
          <w:t>1/12/2021</w:t>
        </w:r>
      </w:hyperlink>
    </w:p>
    <w:p w:rsidR="00846778" w:rsidRDefault="006D7BED" w:rsidP="00846778">
      <w:hyperlink r:id="rId20" w:history="1">
        <w:r w:rsidR="00FF3069" w:rsidRPr="00FF3069">
          <w:rPr>
            <w:rStyle w:val="Hyperlink"/>
          </w:rPr>
          <w:t>2/11/2021</w:t>
        </w:r>
      </w:hyperlink>
    </w:p>
    <w:p w:rsidR="00FF3069" w:rsidRDefault="006D7BED" w:rsidP="00846778">
      <w:hyperlink r:id="rId21" w:history="1">
        <w:r w:rsidR="009040FD" w:rsidRPr="009040FD">
          <w:rPr>
            <w:rStyle w:val="Hyperlink"/>
          </w:rPr>
          <w:t>2/12/2021</w:t>
        </w:r>
      </w:hyperlink>
    </w:p>
    <w:p w:rsidR="009040FD" w:rsidRDefault="006D7BED" w:rsidP="00846778">
      <w:hyperlink r:id="rId22" w:history="1">
        <w:r w:rsidR="00F94888" w:rsidRPr="00F94888">
          <w:rPr>
            <w:rStyle w:val="Hyperlink"/>
          </w:rPr>
          <w:t>2/18/2021</w:t>
        </w:r>
      </w:hyperlink>
    </w:p>
    <w:p w:rsidR="00F94888" w:rsidRDefault="006D7BED" w:rsidP="00846778">
      <w:hyperlink r:id="rId23" w:history="1">
        <w:r w:rsidR="003672BB" w:rsidRPr="003672BB">
          <w:rPr>
            <w:rStyle w:val="Hyperlink"/>
          </w:rPr>
          <w:t>2/19/2021</w:t>
        </w:r>
      </w:hyperlink>
    </w:p>
    <w:p w:rsidR="003672BB" w:rsidRDefault="003672BB" w:rsidP="00846778"/>
    <w:p w:rsidR="00846778" w:rsidRDefault="00846778" w:rsidP="00846778">
      <w:pPr>
        <w:sectPr w:rsidR="00846778" w:rsidSect="00846778">
          <w:pgSz w:w="12240" w:h="15840" w:code="1"/>
          <w:pgMar w:top="1080" w:right="1440" w:bottom="1080" w:left="1440" w:header="720" w:footer="720" w:gutter="0"/>
          <w:cols w:space="720"/>
          <w:noEndnote/>
          <w:docGrid w:linePitch="360"/>
        </w:sectPr>
      </w:pP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Pr="00A34B0E" w:rsidRDefault="003672BB" w:rsidP="00A34B0E">
      <w:pPr>
        <w:tabs>
          <w:tab w:val="right" w:pos="5933"/>
        </w:tabs>
        <w:suppressAutoHyphens/>
      </w:pPr>
      <w:r>
        <w:tab/>
      </w:r>
      <w:r>
        <w:rPr>
          <w:b/>
          <w:sz w:val="36"/>
        </w:rPr>
        <w:t>H. 3610</w:t>
      </w: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Felder, Hixon, Taylor, Calhoon and W. Newton</w:t>
      </w: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311FDF">
      <w:pPr>
        <w:tabs>
          <w:tab w:val="right" w:pos="5933"/>
        </w:tabs>
        <w:suppressAutoHyphens/>
      </w:pPr>
      <w:r>
        <w:t>S. Printed 2/18/21--H.</w:t>
      </w:r>
      <w:r>
        <w:tab/>
        <w:t>[SEC 2/19/21 4:09 PM]</w:t>
      </w: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672BB" w:rsidRPr="00A34B0E"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Pr="008C3CD2"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72BB" w:rsidSect="008C3CD2">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Pr="00325348" w:rsidRDefault="003672BB" w:rsidP="00C3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672BB" w:rsidRDefault="003672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18, TITLE 59 SO AS TO PROVIDE REVISED ACCOUNTABILITY MEASURES FOR PUBLIC SCHOOLS AND PUBLIC SCHOOL DISTRICTS.</w:t>
      </w:r>
    </w:p>
    <w:p w:rsidR="003672BB" w:rsidRDefault="00367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672BB" w:rsidRDefault="00367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72BB" w:rsidRDefault="00367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D83">
        <w:t>SECTION</w:t>
      </w:r>
      <w:r w:rsidRPr="006F1D83">
        <w:tab/>
        <w:t>1.</w:t>
      </w:r>
      <w:r w:rsidRPr="006F1D83">
        <w:tab/>
        <w:t xml:space="preserve">Chapter 18, Title 59 of the 1976 Code is amended by adding: </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F1D83">
        <w:rPr>
          <w:u w:color="000000" w:themeColor="text1"/>
        </w:rPr>
        <w:t>“Article 16</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F1D83">
        <w:rPr>
          <w:u w:color="000000" w:themeColor="text1"/>
        </w:rPr>
        <w:t>Assistance and Intervention</w:t>
      </w: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1615.</w:t>
      </w:r>
      <w:r w:rsidRPr="006F1D83">
        <w:rPr>
          <w:u w:color="000000" w:themeColor="text1"/>
        </w:rPr>
        <w:tab/>
        <w:t>As used in this article:</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w:t>
      </w:r>
      <w:bookmarkStart w:id="5" w:name="temp"/>
      <w:bookmarkEnd w:id="5"/>
      <w:r w:rsidRPr="006F1D83">
        <w:rPr>
          <w:u w:color="000000" w:themeColor="text1"/>
        </w:rPr>
        <w:t>1)</w:t>
      </w:r>
      <w:r w:rsidRPr="006F1D83">
        <w:rPr>
          <w:u w:color="000000" w:themeColor="text1"/>
        </w:rPr>
        <w:tab/>
      </w:r>
      <w:r w:rsidRPr="006F1D83">
        <w:rPr>
          <w:u w:color="000000" w:themeColor="text1"/>
        </w:rPr>
        <w:tab/>
        <w:t>‘Chronically underperforming school’ means: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Pr>
          <w:u w:color="000000" w:themeColor="text1"/>
        </w:rPr>
        <w:tab/>
      </w:r>
      <w:r w:rsidRPr="006F1D83">
        <w:rPr>
          <w:u w:color="000000" w:themeColor="text1"/>
        </w:rPr>
        <w:t>(a)</w:t>
      </w:r>
      <w:r w:rsidRPr="006F1D83">
        <w:rPr>
          <w:u w:color="000000" w:themeColor="text1"/>
        </w:rPr>
        <w:tab/>
        <w:t>an elementary school or middle school where fewer than twenty</w:t>
      </w:r>
      <w:r w:rsidRPr="006F1D83">
        <w:rPr>
          <w:u w:color="000000" w:themeColor="text1"/>
        </w:rPr>
        <w:noBreakHyphen/>
        <w:t>five percent of its students are at ‘meets’ or ‘exceeds expectations’ on the English/language arts and mathematics SC READY assessment or its successor assessment for at least three consecutive years; or</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Pr>
          <w:u w:color="000000" w:themeColor="text1"/>
        </w:rPr>
        <w:tab/>
      </w:r>
      <w:r w:rsidRPr="006F1D83">
        <w:rPr>
          <w:u w:color="000000" w:themeColor="text1"/>
        </w:rPr>
        <w:t>(b)</w:t>
      </w:r>
      <w:r w:rsidRPr="006F1D83">
        <w:rPr>
          <w:u w:color="000000" w:themeColor="text1"/>
        </w:rPr>
        <w:tab/>
        <w:t>a high school where fewer than twenty</w:t>
      </w:r>
      <w:r w:rsidRPr="006F1D83">
        <w:rPr>
          <w:u w:color="000000" w:themeColor="text1"/>
        </w:rPr>
        <w:noBreakHyphen/>
        <w:t>five percent of its students receive a grade of ‘D’ or better on the End of Course assessments in English and mathematics, or fewer than twenty</w:t>
      </w:r>
      <w:r w:rsidRPr="006F1D83">
        <w:rPr>
          <w:u w:color="000000" w:themeColor="text1"/>
        </w:rPr>
        <w:noBreakHyphen/>
        <w:t>five percent of its students fail to achieve at least a ‘bronze’ level on the career readiness assessment for three consecutive years.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(2)</w:t>
      </w:r>
      <w:r w:rsidRPr="006F1D83">
        <w:rPr>
          <w:u w:color="000000" w:themeColor="text1"/>
        </w:rPr>
        <w:tab/>
      </w:r>
      <w:r w:rsidRPr="006F1D83">
        <w:rPr>
          <w:u w:color="000000" w:themeColor="text1"/>
        </w:rPr>
        <w:tab/>
        <w:t>‘School district’ is defined pursuant to Section 59</w:t>
      </w:r>
      <w:r w:rsidRPr="006F1D83">
        <w:rPr>
          <w:u w:color="000000" w:themeColor="text1"/>
        </w:rPr>
        <w:noBreakHyphen/>
        <w:t>1</w:t>
      </w:r>
      <w:r w:rsidRPr="006F1D83">
        <w:rPr>
          <w:u w:color="000000" w:themeColor="text1"/>
        </w:rPr>
        <w:noBreakHyphen/>
        <w:t>160.</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(3)</w:t>
      </w:r>
      <w:r w:rsidRPr="006F1D83">
        <w:rPr>
          <w:u w:color="000000" w:themeColor="text1"/>
        </w:rPr>
        <w:tab/>
      </w:r>
      <w:r w:rsidRPr="006F1D83">
        <w:rPr>
          <w:u w:color="000000" w:themeColor="text1"/>
        </w:rPr>
        <w:tab/>
        <w:t>‘Turnaround plan’ means a plan outlining goals for a school or district’s educational improvement that includes specific 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(4)</w:t>
      </w:r>
      <w:r w:rsidRPr="006F1D83">
        <w:rPr>
          <w:u w:color="000000" w:themeColor="text1"/>
        </w:rPr>
        <w:tab/>
      </w:r>
      <w:r w:rsidRPr="006F1D83">
        <w:rPr>
          <w:u w:color="000000" w:themeColor="text1"/>
        </w:rPr>
        <w:tab/>
        <w:t>‘Underperforming district’ means a district in which sixty</w:t>
      </w:r>
      <w:r w:rsidRPr="006F1D83">
        <w:rPr>
          <w:u w:color="000000" w:themeColor="text1"/>
        </w:rPr>
        <w:noBreakHyphen/>
        <w:t>five percent or more of the schools in the district are considered to be ‘underperforming’ as defined in item (5).</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(5)</w:t>
      </w:r>
      <w:r w:rsidRPr="006F1D83">
        <w:rPr>
          <w:u w:color="000000" w:themeColor="text1"/>
        </w:rPr>
        <w:tab/>
      </w:r>
      <w:r w:rsidRPr="006F1D83">
        <w:rPr>
          <w:u w:color="000000" w:themeColor="text1"/>
        </w:rPr>
        <w:tab/>
        <w:t>‘Underperforming school’ means: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i/>
          <w:u w:color="000000" w:themeColor="text1"/>
        </w:rPr>
        <w:tab/>
      </w:r>
      <w:r w:rsidRPr="006F1D83">
        <w:rPr>
          <w:i/>
          <w:u w:color="000000" w:themeColor="text1"/>
        </w:rPr>
        <w:tab/>
      </w:r>
      <w:r>
        <w:rPr>
          <w:i/>
          <w:u w:color="000000" w:themeColor="text1"/>
        </w:rPr>
        <w:tab/>
      </w:r>
      <w:r w:rsidRPr="006F1D83">
        <w:rPr>
          <w:u w:color="000000" w:themeColor="text1"/>
        </w:rPr>
        <w:t>(a)</w:t>
      </w:r>
      <w:r w:rsidRPr="006F1D83">
        <w:rPr>
          <w:u w:color="000000" w:themeColor="text1"/>
        </w:rPr>
        <w:tab/>
        <w:t>an elementary school or middle school where fewer than twenty</w:t>
      </w:r>
      <w:r w:rsidRPr="006F1D83">
        <w:rPr>
          <w:u w:color="000000" w:themeColor="text1"/>
        </w:rPr>
        <w:noBreakHyphen/>
        <w:t>five percent of its students are at ‘meets’ or ‘exceeds expectations’ on the English/language arts and mathematics SC READY assessment or its successor; or</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Pr>
          <w:u w:color="000000" w:themeColor="text1"/>
        </w:rPr>
        <w:tab/>
      </w:r>
      <w:r w:rsidRPr="006F1D83">
        <w:rPr>
          <w:u w:color="000000" w:themeColor="text1"/>
        </w:rPr>
        <w:t>(b)</w:t>
      </w:r>
      <w:r w:rsidRPr="006F1D83">
        <w:rPr>
          <w:u w:color="000000" w:themeColor="text1"/>
        </w:rPr>
        <w:tab/>
        <w:t>a high school where fewer than twenty</w:t>
      </w:r>
      <w:r w:rsidRPr="006F1D83">
        <w:rPr>
          <w:u w:color="000000" w:themeColor="text1"/>
        </w:rPr>
        <w:noBreakHyphen/>
        <w:t>five percent of its students receive a grade of ‘D’ or better on the End of Course assessments in English and mathematics, or fewer than twenty</w:t>
      </w:r>
      <w:r w:rsidRPr="006F1D83">
        <w:rPr>
          <w:u w:color="000000" w:themeColor="text1"/>
        </w:rPr>
        <w:noBreakHyphen/>
        <w:t>five percent of its students fail to achieve at least a ‘bronze’ level on the career readiness assessment.</w:t>
      </w: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1620.</w:t>
      </w:r>
      <w:r w:rsidRPr="006F1D83">
        <w:rPr>
          <w:u w:color="000000" w:themeColor="text1"/>
        </w:rPr>
        <w:tab/>
        <w:t>(A)</w:t>
      </w:r>
      <w:r w:rsidRPr="006F1D83">
        <w:rPr>
          <w:u w:color="000000" w:themeColor="text1"/>
        </w:rPr>
        <w:tab/>
        <w:t>The department shall implement a tiered system for providing technical and other assistance, professional development, and monitoring for schools and districts. By December thirty</w:t>
      </w:r>
      <w:r w:rsidRPr="006F1D83">
        <w:rPr>
          <w:u w:color="000000" w:themeColor="text1"/>
        </w:rPr>
        <w:noBreakHyphen/>
        <w:t>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As a component of determining if and where assistance and changes are necessary, the department shall:</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monitor the professional development of teachers, staff, and administrators provided by or approved through districts and schools;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monitor local school board operations for efficient and effective management; and</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identify and provide a summary of improvements and changes to the school districts, district school boards, and other involved parties.</w:t>
      </w: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1625.</w:t>
      </w:r>
      <w:r w:rsidRPr="006F1D83">
        <w:rPr>
          <w:u w:color="000000" w:themeColor="text1"/>
        </w:rPr>
        <w:tab/>
        <w:t>(A)</w:t>
      </w:r>
      <w:r w:rsidRPr="006F1D83">
        <w:rPr>
          <w:u w:color="000000" w:themeColor="text1"/>
        </w:rPr>
        <w:tab/>
        <w:t>Upon a school or district’s designation as an underperforming school or district, the department shall immediately place the school, district, or both into a tiered status to provide technical assistance. The department shall notify the underperforming school or district and the district superintendent of the tiered status.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(B)(1)</w:t>
      </w:r>
      <w:r w:rsidRPr="006F1D83">
        <w:rPr>
          <w:u w:color="000000" w:themeColor="text1"/>
        </w:rPr>
        <w:tab/>
        <w:t>Upon receiving notification from the department, the district superintendent, in consultation with school and community stakeholders, must review and revise the school and/or district’s strategic plan with the assistance of the School Improvement Council, as established in Section 59</w:t>
      </w:r>
      <w:r w:rsidRPr="006F1D83">
        <w:rPr>
          <w:u w:color="000000" w:themeColor="text1"/>
        </w:rPr>
        <w:noBreakHyphen/>
        <w:t>20</w:t>
      </w:r>
      <w:r w:rsidRPr="006F1D83">
        <w:rPr>
          <w:u w:color="000000" w:themeColor="text1"/>
        </w:rPr>
        <w:noBreakHyphen/>
        <w:t>60, to include a turnaround plan component for any underperforming school or district.</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turnaround plan component of the revised strategic plan must:</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(a)</w:t>
      </w:r>
      <w:r w:rsidRPr="006F1D83">
        <w:rPr>
          <w:u w:color="000000" w:themeColor="text1"/>
        </w:rPr>
        <w:tab/>
        <w:t>be based on data or needs assessments to identify specific improvement strategies related to underperforming school turnaround;</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(b)</w:t>
      </w:r>
      <w:r w:rsidRPr="006F1D83">
        <w:rPr>
          <w:u w:color="000000" w:themeColor="text1"/>
        </w:rPr>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(c)</w:t>
      </w:r>
      <w:r w:rsidRPr="006F1D83">
        <w:rPr>
          <w:u w:color="000000" w:themeColor="text1"/>
        </w:rPr>
        <w:tab/>
        <w:t>include broad</w:t>
      </w:r>
      <w:r w:rsidRPr="006F1D83">
        <w:rPr>
          <w:u w:color="000000" w:themeColor="text1"/>
        </w:rPr>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(d)</w:t>
      </w:r>
      <w:r w:rsidRPr="006F1D83">
        <w:rPr>
          <w:u w:color="000000" w:themeColor="text1"/>
        </w:rPr>
        <w:tab/>
        <w:t>be submitted by the district superintendent to the local board of trustees for approval.</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(E)</w:t>
      </w:r>
      <w:r w:rsidRPr="006F1D83">
        <w:rPr>
          <w:u w:color="000000" w:themeColor="text1"/>
        </w:rPr>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1630.</w:t>
      </w:r>
      <w:r w:rsidRPr="006F1D83">
        <w:rPr>
          <w:u w:color="000000" w:themeColor="text1"/>
        </w:rPr>
        <w:tab/>
        <w:t>Upon the release of the annual report card issued pursuant to Section 59</w:t>
      </w:r>
      <w:r w:rsidRPr="006F1D83">
        <w:rPr>
          <w:u w:color="000000" w:themeColor="text1"/>
        </w:rPr>
        <w:noBreakHyphen/>
        <w:t>18</w:t>
      </w:r>
      <w:r w:rsidRPr="006F1D83">
        <w:rPr>
          <w:u w:color="000000" w:themeColor="text1"/>
        </w:rPr>
        <w:noBreakHyphen/>
        <w:t>900, the department shall notify the appropriate legislative delegation of any school receiving an overall unsatisfactory rating. The local school board and district superintendent with jurisdiction over the unsatisfactory school shall:</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(1)</w:t>
      </w:r>
      <w:r w:rsidRPr="006F1D83">
        <w:rPr>
          <w:u w:color="000000" w:themeColor="text1"/>
        </w:rPr>
        <w:tab/>
        <w:t>notify parents of students in writing and electronically;</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(2)</w:t>
      </w:r>
      <w:r w:rsidRPr="006F1D83">
        <w:rPr>
          <w:u w:color="000000" w:themeColor="text1"/>
        </w:rPr>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(3)</w:t>
      </w:r>
      <w:r w:rsidRPr="006F1D83">
        <w:rPr>
          <w:u w:color="000000" w:themeColor="text1"/>
        </w:rPr>
        <w:tab/>
        <w:t>immediately review and revise its strategic</w:t>
      </w:r>
      <w:r w:rsidRPr="006F1D83">
        <w:rPr>
          <w:i/>
          <w:u w:color="000000" w:themeColor="text1"/>
        </w:rPr>
        <w:t xml:space="preserve"> </w:t>
      </w:r>
      <w:r w:rsidRPr="006F1D83">
        <w:rPr>
          <w:u w:color="000000" w:themeColor="text1"/>
        </w:rPr>
        <w:t>plan, which must incorporate and focus on turnaround plan components for each school designated as unsatisfactory in accordance with the template and guidelines provided by the department; and</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(4)</w:t>
      </w:r>
      <w:r w:rsidRPr="006F1D83">
        <w:rPr>
          <w:u w:color="000000" w:themeColor="text1"/>
        </w:rPr>
        <w:tab/>
        <w:t>upon department approval, immediately list the revised strategic plan as a topic on the local district board meeting agenda at least once a quarter.</w:t>
      </w: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1635.</w:t>
      </w:r>
      <w:r w:rsidRPr="006F1D83">
        <w:rPr>
          <w:u w:color="000000" w:themeColor="text1"/>
        </w:rPr>
        <w:tab/>
        <w:t>(A)</w:t>
      </w:r>
      <w:r w:rsidRPr="006F1D83">
        <w:rPr>
          <w:u w:color="000000" w:themeColor="text1"/>
        </w:rPr>
        <w:tab/>
        <w:t>The State Superintendent of Education may seek a state</w:t>
      </w:r>
      <w:r w:rsidRPr="006F1D83">
        <w:rPr>
          <w:u w:color="000000" w:themeColor="text1"/>
        </w:rPr>
        <w:noBreakHyphen/>
        <w:t>of</w:t>
      </w:r>
      <w:r w:rsidRPr="006F1D83">
        <w:rPr>
          <w:u w:color="000000" w:themeColor="text1"/>
        </w:rPr>
        <w:noBreakHyphen/>
        <w:t>education emergency declaration in a school for which he has a capacity to serve under the following circumstances: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the school is chronically underperforming;</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school’s accreditation is denied;</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the district refuses to submit a turnaround plan; or</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(4)</w:t>
      </w:r>
      <w:r w:rsidRPr="006F1D83">
        <w:rPr>
          <w:u w:color="000000" w:themeColor="text1"/>
        </w:rPr>
        <w:tab/>
        <w:t>the State Superintendent of Education determines that a school’s turnaround plan results are insufficient.</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If the State Superintendent of Education determines that a state</w:t>
      </w:r>
      <w:r w:rsidRPr="006F1D83">
        <w:rPr>
          <w:u w:color="000000" w:themeColor="text1"/>
        </w:rPr>
        <w:noBreakHyphen/>
        <w:t>of</w:t>
      </w:r>
      <w:r w:rsidRPr="006F1D83">
        <w:rPr>
          <w:u w:color="000000" w:themeColor="text1"/>
        </w:rPr>
        <w:noBreakHyphen/>
        <w:t>education emergency declaration is justified, then he must request that the State Board of Education meet to approve or disapprove the declaration. The State Board of Education must meet within ten business days of the request to approve or disapprove the declaration.</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of a state</w:t>
      </w:r>
      <w:r w:rsidRPr="006F1D83">
        <w:rPr>
          <w:u w:color="000000" w:themeColor="text1"/>
        </w:rPr>
        <w:noBreakHyphen/>
        <w:t>of</w:t>
      </w:r>
      <w:r w:rsidRPr="006F1D83">
        <w:rPr>
          <w:u w:color="000000" w:themeColor="text1"/>
        </w:rPr>
        <w:noBreakHyphen/>
        <w:t>education emergency declaration, the State Superintendent of Education shall:</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notify the district superintendent, local school board, local legislative delegation, and Governor; and</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assume management of the school.</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1D83">
        <w:rPr>
          <w:u w:color="000000" w:themeColor="text1"/>
        </w:rPr>
        <w:tab/>
        <w:t>(E)</w:t>
      </w:r>
      <w:r w:rsidRPr="006F1D83">
        <w:rPr>
          <w:u w:color="000000" w:themeColor="text1"/>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Pr="006F1D83">
        <w:rPr>
          <w:u w:color="000000" w:themeColor="text1"/>
        </w:rPr>
        <w:noBreakHyphen/>
        <w:t>of</w:t>
      </w:r>
      <w:r w:rsidRPr="006F1D83">
        <w:rPr>
          <w:u w:color="000000" w:themeColor="text1"/>
        </w:rPr>
        <w:noBreakHyphen/>
        <w:t>education emergency, the department, in consultation with the district and local board of trustees, shall develop a transition plan and timeline for returning management of the school to the district.</w:t>
      </w: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1640.</w:t>
      </w:r>
      <w:r w:rsidRPr="006F1D83">
        <w:rPr>
          <w:u w:color="000000" w:themeColor="text1"/>
        </w:rPr>
        <w:tab/>
        <w:t>(A)</w:t>
      </w:r>
      <w:r w:rsidRPr="006F1D83">
        <w:rPr>
          <w:u w:color="000000" w:themeColor="text1"/>
        </w:rPr>
        <w:tab/>
        <w:t>The State Superintendent of Education may seek a state</w:t>
      </w:r>
      <w:r w:rsidRPr="006F1D83">
        <w:rPr>
          <w:u w:color="000000" w:themeColor="text1"/>
        </w:rPr>
        <w:noBreakHyphen/>
        <w:t>of</w:t>
      </w:r>
      <w:r w:rsidRPr="006F1D83">
        <w:rPr>
          <w:u w:color="000000" w:themeColor="text1"/>
        </w:rPr>
        <w:noBreakHyphen/>
        <w:t>education emergency declaration in a district for which he has a capacity to serve under the following circumstances: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the district is identified as underperforming for three consecutive years or for five out of the last seven years;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district’s accreditation is denied;</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the Superintendent of Education determines that a district’s turnaround plan results are insufficient; or</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(4)</w:t>
      </w:r>
      <w:r w:rsidRPr="006F1D83">
        <w:rPr>
          <w:u w:color="000000" w:themeColor="text1"/>
        </w:rPr>
        <w:tab/>
        <w:t>the district is classified as being in a fiscal emergency status pursuant to Section 59</w:t>
      </w:r>
      <w:r w:rsidRPr="006F1D83">
        <w:rPr>
          <w:u w:color="000000" w:themeColor="text1"/>
        </w:rPr>
        <w:noBreakHyphen/>
        <w:t>20</w:t>
      </w:r>
      <w:r w:rsidRPr="006F1D83">
        <w:rPr>
          <w:u w:color="000000" w:themeColor="text1"/>
        </w:rPr>
        <w:noBreakHyphen/>
        <w:t>90, or financial mismanagement resulting in a deficit has occurred.</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If the State Superintendent of Education determines that a state</w:t>
      </w:r>
      <w:r w:rsidRPr="006F1D83">
        <w:rPr>
          <w:u w:color="000000" w:themeColor="text1"/>
        </w:rPr>
        <w:noBreakHyphen/>
        <w:t>of</w:t>
      </w:r>
      <w:r w:rsidRPr="006F1D83">
        <w:rPr>
          <w:u w:color="000000" w:themeColor="text1"/>
        </w:rPr>
        <w:noBreakHyphen/>
        <w:t>education emergency declaration is justified, then he must request that the State Board of Education meet to approve or disapprove the declaration. The State Board of Education must meet within ten days of the request to approve or disapprove the declaration.</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of a state</w:t>
      </w:r>
      <w:r w:rsidRPr="006F1D83">
        <w:rPr>
          <w:u w:color="000000" w:themeColor="text1"/>
        </w:rPr>
        <w:noBreakHyphen/>
        <w:t>of</w:t>
      </w:r>
      <w:r w:rsidRPr="006F1D83">
        <w:rPr>
          <w:u w:color="000000" w:themeColor="text1"/>
        </w:rPr>
        <w:noBreakHyphen/>
        <w:t>education emergency, the State Superintendent of Education shall:</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notify the State Board of Education, the district superintendent, local school board, local legislative delegation, and Governor; and</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 xml:space="preserve">assume management of the district. </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(E)(1)</w:t>
      </w:r>
      <w:r w:rsidRPr="006F1D83">
        <w:rPr>
          <w:u w:color="000000" w:themeColor="text1"/>
        </w:rPr>
        <w:tab/>
        <w:t>Upon the State Board of Education’s approval of a state</w:t>
      </w:r>
      <w:r w:rsidRPr="006F1D83">
        <w:rPr>
          <w:u w:color="000000" w:themeColor="text1"/>
        </w:rPr>
        <w:noBreakHyphen/>
        <w:t>of</w:t>
      </w:r>
      <w:r w:rsidRPr="006F1D83">
        <w:rPr>
          <w:u w:color="000000" w:themeColor="text1"/>
        </w:rPr>
        <w:noBreakHyphen/>
        <w:t>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(2)(a)</w:t>
      </w:r>
      <w:r w:rsidRPr="006F1D83">
        <w:rPr>
          <w:u w:color="000000" w:themeColor="text1"/>
        </w:rPr>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w:t>
      </w:r>
      <w:r w:rsidRPr="006F1D83">
        <w:rPr>
          <w:u w:color="000000" w:themeColor="text1"/>
        </w:rPr>
        <w:tab/>
      </w:r>
      <w:r>
        <w:rPr>
          <w:u w:color="000000" w:themeColor="text1"/>
        </w:rPr>
        <w:tab/>
      </w:r>
      <w:r w:rsidRPr="006F1D83">
        <w:rPr>
          <w:u w:color="000000" w:themeColor="text1"/>
        </w:rPr>
        <w:t>one member appointed by the Governor;</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(ii)</w:t>
      </w:r>
      <w:r w:rsidRPr="006F1D83">
        <w:rPr>
          <w:u w:color="000000" w:themeColor="text1"/>
        </w:rPr>
        <w:tab/>
        <w:t>one member appointed by the local legislative delegation; and</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(iii)</w:t>
      </w:r>
      <w:r w:rsidRPr="006F1D83">
        <w:rPr>
          <w:u w:color="000000" w:themeColor="text1"/>
        </w:rPr>
        <w:tab/>
        <w:t>three members appointed by the State Superintendent of Education in consultation with the local legislative delegation.</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(b)</w:t>
      </w:r>
      <w:r w:rsidRPr="006F1D83">
        <w:rPr>
          <w:u w:color="000000" w:themeColor="text1"/>
        </w:rPr>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(c)</w:t>
      </w:r>
      <w:r w:rsidRPr="006F1D83">
        <w:rPr>
          <w:u w:color="000000" w:themeColor="text1"/>
        </w:rPr>
        <w:tab/>
        <w:t>The interim local district board shall be appointed to begin serving within forty</w:t>
      </w:r>
      <w:r w:rsidRPr="006F1D83">
        <w:rPr>
          <w:u w:color="000000" w:themeColor="text1"/>
        </w:rPr>
        <w:noBreakHyphen/>
        <w:t>five days of the State Board of Education’s approval of the appointments of the interim local district board and shall serve for a minimum of three years.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(d)</w:t>
      </w:r>
      <w:r w:rsidRPr="006F1D83">
        <w:rPr>
          <w:u w:color="000000" w:themeColor="text1"/>
        </w:rPr>
        <w:tab/>
        <w:t>Any vacancy shall be filled in the original manner of appointment.</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For a minimum of three years and until the State Board of Education votes to end the state</w:t>
      </w:r>
      <w:r w:rsidRPr="006F1D83">
        <w:rPr>
          <w:u w:color="000000" w:themeColor="text1"/>
        </w:rPr>
        <w:noBreakHyphen/>
        <w:t>of</w:t>
      </w:r>
      <w:r w:rsidRPr="006F1D83">
        <w:rPr>
          <w:u w:color="000000" w:themeColor="text1"/>
        </w:rPr>
        <w:noBreakHyphen/>
        <w:t>education emergency, the interim local district board shall remain in place, and its appointed members shall continue to serve.</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1D83">
        <w:rPr>
          <w:u w:color="000000" w:themeColor="text1"/>
        </w:rPr>
        <w:tab/>
        <w:t>(F)(1)</w:t>
      </w:r>
      <w:r w:rsidRPr="006F1D83">
        <w:rPr>
          <w:u w:color="000000" w:themeColor="text1"/>
        </w:rPr>
        <w:tab/>
        <w:t>Upon an affirmative vote by the State Board of Education to end the state</w:t>
      </w:r>
      <w:r w:rsidRPr="006F1D83">
        <w:rPr>
          <w:u w:color="000000" w:themeColor="text1"/>
        </w:rPr>
        <w:noBreakHyphen/>
        <w:t>of</w:t>
      </w:r>
      <w:r w:rsidRPr="006F1D83">
        <w:rPr>
          <w:u w:color="000000" w:themeColor="text1"/>
        </w:rPr>
        <w:noBreakHyphen/>
        <w:t>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Upon the swearing in of a new local district board of trustees, the declaration of a state</w:t>
      </w:r>
      <w:r w:rsidRPr="006F1D83">
        <w:rPr>
          <w:u w:color="000000" w:themeColor="text1"/>
        </w:rPr>
        <w:noBreakHyphen/>
        <w:t>of</w:t>
      </w:r>
      <w:r w:rsidRPr="006F1D83">
        <w:rPr>
          <w:u w:color="000000" w:themeColor="text1"/>
        </w:rPr>
        <w:noBreakHyphen/>
        <w:t>education emergency shall expire, and the powers and duties of the district superintendent and local district school board of trustees are restored.</w:t>
      </w: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(G)</w:t>
      </w:r>
      <w:r w:rsidRPr="006F1D83">
        <w:rPr>
          <w:u w:color="000000" w:themeColor="text1"/>
        </w:rPr>
        <w:tab/>
        <w:t>Notwithstanding any other provision of law, a district in a state</w:t>
      </w:r>
      <w:r w:rsidRPr="006F1D83">
        <w:rPr>
          <w:u w:color="000000" w:themeColor="text1"/>
        </w:rPr>
        <w:noBreakHyphen/>
        <w:t>of</w:t>
      </w:r>
      <w:r w:rsidRPr="006F1D83">
        <w:rPr>
          <w:u w:color="000000" w:themeColor="text1"/>
        </w:rPr>
        <w:noBreakHyphen/>
        <w:t>education emergency pursuant to this section shall have its fiscal authority relating to taxing authority and levying millage transferred to its county council until the state</w:t>
      </w:r>
      <w:r w:rsidRPr="006F1D83">
        <w:rPr>
          <w:u w:color="000000" w:themeColor="text1"/>
        </w:rPr>
        <w:noBreakHyphen/>
        <w:t>of</w:t>
      </w:r>
      <w:r w:rsidRPr="006F1D83">
        <w:rPr>
          <w:u w:color="000000" w:themeColor="text1"/>
        </w:rPr>
        <w:noBreakHyphen/>
        <w:t>education emergency is lifted. County council may not exceed millage limitations established pursuant to Section 6</w:t>
      </w:r>
      <w:r w:rsidRPr="006F1D83">
        <w:rPr>
          <w:u w:color="000000" w:themeColor="text1"/>
        </w:rPr>
        <w:noBreakHyphen/>
        <w:t>1</w:t>
      </w:r>
      <w:r w:rsidRPr="006F1D83">
        <w:rPr>
          <w:u w:color="000000" w:themeColor="text1"/>
        </w:rPr>
        <w:noBreakHyphen/>
        <w:t>320 or otherwise established prior to the state</w:t>
      </w:r>
      <w:r w:rsidRPr="006F1D83">
        <w:rPr>
          <w:u w:color="000000" w:themeColor="text1"/>
        </w:rPr>
        <w:noBreakHyphen/>
        <w:t>of</w:t>
      </w:r>
      <w:r w:rsidRPr="006F1D83">
        <w:rPr>
          <w:u w:color="000000" w:themeColor="text1"/>
        </w:rPr>
        <w:noBreakHyphen/>
        <w:t>education emergency declaration.”</w:t>
      </w: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2BB" w:rsidRPr="006F1D83"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Pr>
          <w:u w:color="000000" w:themeColor="text1"/>
        </w:rPr>
        <w:tab/>
      </w:r>
      <w:r w:rsidRPr="006F1D83">
        <w:rPr>
          <w:u w:color="000000" w:themeColor="text1"/>
        </w:rPr>
        <w:t>SECTION</w:t>
      </w:r>
      <w:r w:rsidRPr="006F1D83">
        <w:rPr>
          <w:u w:color="000000" w:themeColor="text1"/>
        </w:rPr>
        <w:tab/>
        <w:t>2.</w:t>
      </w:r>
      <w:r w:rsidRPr="006F1D83">
        <w:rPr>
          <w:u w:color="000000" w:themeColor="text1"/>
        </w:rPr>
        <w:tab/>
        <w:t>Article 15, Chapter 18, Title 59 of the 1976 Code is repealed.</w:t>
      </w: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6F1D83">
        <w:rPr>
          <w:u w:color="000000" w:themeColor="text1"/>
        </w:rPr>
        <w:t>SECTION</w:t>
      </w:r>
      <w:r w:rsidRPr="006F1D83">
        <w:rPr>
          <w:u w:color="000000" w:themeColor="text1"/>
        </w:rPr>
        <w:tab/>
        <w:t>3.</w:t>
      </w:r>
      <w:r w:rsidRPr="006F1D83">
        <w:rPr>
          <w:u w:color="000000" w:themeColor="text1"/>
        </w:rPr>
        <w:tab/>
        <w:t>This act takes effect upon approval by the Governor.</w:t>
      </w:r>
    </w:p>
    <w:p w:rsidR="003672BB" w:rsidRDefault="003672BB"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6778" w:rsidRDefault="00846778" w:rsidP="00367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46778" w:rsidSect="008C3CD2">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568" w:rsidRDefault="000A1568" w:rsidP="009F0C77">
      <w:r>
        <w:separator/>
      </w:r>
    </w:p>
  </w:endnote>
  <w:endnote w:type="continuationSeparator" w:id="0">
    <w:p w:rsidR="000A1568" w:rsidRDefault="000A1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D90FE7-E68C-43FB-9FDE-4FCEAA14AFA7}"/>
    <w:embedBold r:id="rId2" w:fontKey="{F65BBC86-714F-4902-9AF8-19A7F2FE5AD2}"/>
    <w:embedItalic r:id="rId3" w:fontKey="{A71532C7-E08B-43F8-9AAB-6D3F2BEFA285}"/>
  </w:font>
  <w:font w:name="Calibri">
    <w:panose1 w:val="020F0502020204030204"/>
    <w:charset w:val="00"/>
    <w:family w:val="swiss"/>
    <w:pitch w:val="variable"/>
    <w:sig w:usb0="E0002EFF" w:usb1="C000247B" w:usb2="00000009" w:usb3="00000000" w:csb0="000001FF" w:csb1="00000000"/>
    <w:embedRegular r:id="rId4" w:fontKey="{C152457D-4370-47DE-A5D8-9C8F1A235FE4}"/>
  </w:font>
  <w:font w:name="Cambria">
    <w:panose1 w:val="02040503050406030204"/>
    <w:charset w:val="00"/>
    <w:family w:val="roman"/>
    <w:pitch w:val="variable"/>
    <w:sig w:usb0="E00006FF" w:usb1="420024FF" w:usb2="02000000" w:usb3="00000000" w:csb0="0000019F" w:csb1="00000000"/>
    <w:embedRegular r:id="rId5" w:fontKey="{C4BDFD33-17C0-4245-A794-3A6B57F9EE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2BB" w:rsidRPr="00C365B5" w:rsidRDefault="003672BB" w:rsidP="00C365B5">
    <w:pPr>
      <w:pStyle w:val="Footer"/>
      <w:tabs>
        <w:tab w:val="clear" w:pos="4680"/>
        <w:tab w:val="clear" w:pos="9360"/>
        <w:tab w:val="center" w:pos="2995"/>
      </w:tabs>
      <w:spacing w:before="120"/>
    </w:pPr>
    <w:r>
      <w:t>[3610-</w:t>
    </w:r>
    <w:r>
      <w:fldChar w:fldCharType="begin"/>
    </w:r>
    <w:r>
      <w:instrText xml:space="preserve"> PAGE  \* MERGEFORMAT </w:instrText>
    </w:r>
    <w:r>
      <w:fldChar w:fldCharType="separate"/>
    </w:r>
    <w:r w:rsidR="003131F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CD2" w:rsidRPr="00C365B5" w:rsidRDefault="003672BB" w:rsidP="00C365B5">
    <w:pPr>
      <w:pStyle w:val="Footer"/>
      <w:tabs>
        <w:tab w:val="clear" w:pos="4680"/>
        <w:tab w:val="clear" w:pos="9360"/>
        <w:tab w:val="center" w:pos="2995"/>
      </w:tabs>
      <w:spacing w:before="120"/>
    </w:pPr>
    <w:r>
      <w:t>[3610]</w:t>
    </w:r>
    <w:r>
      <w:tab/>
    </w:r>
    <w:r>
      <w:fldChar w:fldCharType="begin"/>
    </w:r>
    <w:r>
      <w:instrText xml:space="preserve"> PAGE  \* MERGEFORMAT </w:instrText>
    </w:r>
    <w:r>
      <w:fldChar w:fldCharType="separate"/>
    </w:r>
    <w:r w:rsidR="00BE47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568" w:rsidRDefault="000A1568" w:rsidP="009F0C77">
      <w:r>
        <w:separator/>
      </w:r>
    </w:p>
  </w:footnote>
  <w:footnote w:type="continuationSeparator" w:id="0">
    <w:p w:rsidR="000A1568" w:rsidRDefault="000A1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7WAB21"/>
    <w:docVar w:name="CoverBillType" w:val="b"/>
    <w:docVar w:name="DocPath" w:val="L:\Council\bills\RT\17857WAB21.DOCX"/>
    <w:docVar w:name="dvBillNumber" w:val="3610"/>
    <w:docVar w:name="dvBillNumberPrefix" w:val="H. "/>
    <w:docVar w:name="dvOriginalBody" w:val="House"/>
    <w:docVar w:name="dvSteno" w:val="RT"/>
    <w:docVar w:name="NameofBody" w:val="h"/>
    <w:docVar w:name="vGroup2" w:val="Council"/>
  </w:docVars>
  <w:rsids>
    <w:rsidRoot w:val="000A1568"/>
    <w:rsid w:val="00011869"/>
    <w:rsid w:val="00015CD6"/>
    <w:rsid w:val="000A156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595"/>
    <w:rsid w:val="002321B6"/>
    <w:rsid w:val="00232912"/>
    <w:rsid w:val="00250967"/>
    <w:rsid w:val="002543C8"/>
    <w:rsid w:val="0025541D"/>
    <w:rsid w:val="00284AAE"/>
    <w:rsid w:val="002E5912"/>
    <w:rsid w:val="00301B21"/>
    <w:rsid w:val="003131FA"/>
    <w:rsid w:val="00325348"/>
    <w:rsid w:val="0032732C"/>
    <w:rsid w:val="00336AD0"/>
    <w:rsid w:val="003672BB"/>
    <w:rsid w:val="0037079A"/>
    <w:rsid w:val="003C4DAB"/>
    <w:rsid w:val="003D01E8"/>
    <w:rsid w:val="003E5288"/>
    <w:rsid w:val="003F6D79"/>
    <w:rsid w:val="0041760A"/>
    <w:rsid w:val="00417C01"/>
    <w:rsid w:val="004403BD"/>
    <w:rsid w:val="00461441"/>
    <w:rsid w:val="004753F8"/>
    <w:rsid w:val="004809EE"/>
    <w:rsid w:val="00491213"/>
    <w:rsid w:val="00493DD0"/>
    <w:rsid w:val="004E7D54"/>
    <w:rsid w:val="005273C6"/>
    <w:rsid w:val="00530A69"/>
    <w:rsid w:val="00545593"/>
    <w:rsid w:val="005467A0"/>
    <w:rsid w:val="00556EBF"/>
    <w:rsid w:val="00576E35"/>
    <w:rsid w:val="00577C6C"/>
    <w:rsid w:val="005A62FE"/>
    <w:rsid w:val="005C2FE2"/>
    <w:rsid w:val="005E2BC9"/>
    <w:rsid w:val="00605102"/>
    <w:rsid w:val="006215AA"/>
    <w:rsid w:val="006913C9"/>
    <w:rsid w:val="0069470D"/>
    <w:rsid w:val="006C687D"/>
    <w:rsid w:val="006D58AA"/>
    <w:rsid w:val="006D7FDE"/>
    <w:rsid w:val="00701814"/>
    <w:rsid w:val="00734F00"/>
    <w:rsid w:val="00736959"/>
    <w:rsid w:val="00754DFA"/>
    <w:rsid w:val="007A70AE"/>
    <w:rsid w:val="007F5DFF"/>
    <w:rsid w:val="00817A51"/>
    <w:rsid w:val="008362E8"/>
    <w:rsid w:val="00846778"/>
    <w:rsid w:val="0085786E"/>
    <w:rsid w:val="0086255C"/>
    <w:rsid w:val="00897F3E"/>
    <w:rsid w:val="008A1768"/>
    <w:rsid w:val="008A489F"/>
    <w:rsid w:val="008B27B3"/>
    <w:rsid w:val="008C5F1C"/>
    <w:rsid w:val="008F0F33"/>
    <w:rsid w:val="008F4429"/>
    <w:rsid w:val="009040FD"/>
    <w:rsid w:val="0094021A"/>
    <w:rsid w:val="009B44AF"/>
    <w:rsid w:val="009C6A0B"/>
    <w:rsid w:val="009F0C77"/>
    <w:rsid w:val="009F4DD1"/>
    <w:rsid w:val="00A02543"/>
    <w:rsid w:val="00A41684"/>
    <w:rsid w:val="00A64E80"/>
    <w:rsid w:val="00A72BCD"/>
    <w:rsid w:val="00A741D9"/>
    <w:rsid w:val="00A833AB"/>
    <w:rsid w:val="00A9741D"/>
    <w:rsid w:val="00AC34A2"/>
    <w:rsid w:val="00AC6308"/>
    <w:rsid w:val="00AD1C9A"/>
    <w:rsid w:val="00AD4B17"/>
    <w:rsid w:val="00B120D7"/>
    <w:rsid w:val="00B412D4"/>
    <w:rsid w:val="00B64FFF"/>
    <w:rsid w:val="00B95970"/>
    <w:rsid w:val="00BA1920"/>
    <w:rsid w:val="00BD6FDC"/>
    <w:rsid w:val="00BE3C22"/>
    <w:rsid w:val="00BE4793"/>
    <w:rsid w:val="00C0345E"/>
    <w:rsid w:val="00C21ABE"/>
    <w:rsid w:val="00C31C95"/>
    <w:rsid w:val="00C3483A"/>
    <w:rsid w:val="00C365B5"/>
    <w:rsid w:val="00C74E9D"/>
    <w:rsid w:val="00C826DD"/>
    <w:rsid w:val="00C82FD3"/>
    <w:rsid w:val="00C91452"/>
    <w:rsid w:val="00C92819"/>
    <w:rsid w:val="00CC6B7B"/>
    <w:rsid w:val="00CD0573"/>
    <w:rsid w:val="00CD2089"/>
    <w:rsid w:val="00D34B3D"/>
    <w:rsid w:val="00D73A67"/>
    <w:rsid w:val="00D970A9"/>
    <w:rsid w:val="00DA62DC"/>
    <w:rsid w:val="00DF3845"/>
    <w:rsid w:val="00E41911"/>
    <w:rsid w:val="00E44B57"/>
    <w:rsid w:val="00E614B6"/>
    <w:rsid w:val="00E70582"/>
    <w:rsid w:val="00E92EEF"/>
    <w:rsid w:val="00EF2368"/>
    <w:rsid w:val="00F24442"/>
    <w:rsid w:val="00F50AE3"/>
    <w:rsid w:val="00F655B7"/>
    <w:rsid w:val="00F656BA"/>
    <w:rsid w:val="00F67CF1"/>
    <w:rsid w:val="00F728AA"/>
    <w:rsid w:val="00F840F0"/>
    <w:rsid w:val="00F94888"/>
    <w:rsid w:val="00FB0D0D"/>
    <w:rsid w:val="00FB43B4"/>
    <w:rsid w:val="00FB6B0B"/>
    <w:rsid w:val="00FC54D1"/>
    <w:rsid w:val="00FF2AE4"/>
    <w:rsid w:val="00FF3069"/>
    <w:rsid w:val="00FF49E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D2DCB-32C5-4416-BCB4-4F8610A7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467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218.docx" TargetMode="External"/><Relationship Id="rId18" Type="http://schemas.openxmlformats.org/officeDocument/2006/relationships/hyperlink" Target="http://www.scstatehouse.gov/billsearch.php?billnumbers=3610&amp;session=124&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21-22\3610_20210212.docx" TargetMode="External"/><Relationship Id="rId7" Type="http://schemas.openxmlformats.org/officeDocument/2006/relationships/hyperlink" Target="file:///h:\hj\20210112.docx" TargetMode="External"/><Relationship Id="rId12" Type="http://schemas.openxmlformats.org/officeDocument/2006/relationships/hyperlink" Target="file:///h:\hj\20210218.docx" TargetMode="External"/><Relationship Id="rId17" Type="http://schemas.openxmlformats.org/officeDocument/2006/relationships/hyperlink" Target="file:///h:\sj\20210224.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210224.docx" TargetMode="External"/><Relationship Id="rId20" Type="http://schemas.openxmlformats.org/officeDocument/2006/relationships/hyperlink" Target="file:///p:\pprever\2021-22\3610_202102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18.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210223.docx" TargetMode="External"/><Relationship Id="rId23" Type="http://schemas.openxmlformats.org/officeDocument/2006/relationships/hyperlink" Target="file:///p:\pprever\2021-22\3610_20210219.docx" TargetMode="External"/><Relationship Id="rId10" Type="http://schemas.openxmlformats.org/officeDocument/2006/relationships/hyperlink" Target="file:///h:\hj\20210217.docx" TargetMode="External"/><Relationship Id="rId19" Type="http://schemas.openxmlformats.org/officeDocument/2006/relationships/hyperlink" Target="file:///p:\pprever\2021-22\3610_20210112.docx" TargetMode="External"/><Relationship Id="rId4" Type="http://schemas.openxmlformats.org/officeDocument/2006/relationships/webSettings" Target="webSettings.xml"/><Relationship Id="rId9" Type="http://schemas.openxmlformats.org/officeDocument/2006/relationships/hyperlink" Target="file:///h:\hj\20210211.docx" TargetMode="External"/><Relationship Id="rId14" Type="http://schemas.openxmlformats.org/officeDocument/2006/relationships/hyperlink" Target="file:///h:\hj\20210223.docx" TargetMode="External"/><Relationship Id="rId22" Type="http://schemas.openxmlformats.org/officeDocument/2006/relationships/hyperlink" Target="file:///p:\pprever\2021-22\3610_20210218.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1797B-3467-499F-B853-413C0F88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2678</Words>
  <Characters>15266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3610: Subject not yet available - South Carolina Legislature Online</dc:title>
  <dc:creator>Rebecca Turner</dc:creator>
  <cp:lastModifiedBy>S Wilson</cp:lastModifiedBy>
  <cp:revision>2</cp:revision>
  <cp:lastPrinted>2020-11-20T20:10:00Z</cp:lastPrinted>
  <dcterms:created xsi:type="dcterms:W3CDTF">2021-02-25T14:09:00Z</dcterms:created>
  <dcterms:modified xsi:type="dcterms:W3CDTF">2021-02-25T14:09:00Z</dcterms:modified>
</cp:coreProperties>
</file>