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469" w:rsidRDefault="00980469" w:rsidP="00980469">
      <w:pPr>
        <w:widowControl w:val="0"/>
        <w:jc w:val="center"/>
      </w:pPr>
      <w:r w:rsidRPr="00980469">
        <w:rPr>
          <w:b/>
        </w:rPr>
        <w:t>South Carolina General Assembly</w:t>
      </w:r>
    </w:p>
    <w:p w:rsidR="00980469" w:rsidRDefault="00980469" w:rsidP="00980469">
      <w:pPr>
        <w:widowControl w:val="0"/>
        <w:jc w:val="center"/>
      </w:pPr>
      <w:r>
        <w:t>124th Session, 2021-2022</w:t>
      </w:r>
    </w:p>
    <w:p w:rsidR="00980469" w:rsidRDefault="00980469" w:rsidP="00980469">
      <w:pPr>
        <w:widowControl w:val="0"/>
        <w:jc w:val="left"/>
      </w:pPr>
    </w:p>
    <w:p w:rsidR="00980469" w:rsidRDefault="00980469" w:rsidP="00980469">
      <w:pPr>
        <w:widowControl w:val="0"/>
        <w:jc w:val="left"/>
        <w:rPr>
          <w:b/>
        </w:rPr>
      </w:pPr>
      <w:r w:rsidRPr="00980469">
        <w:rPr>
          <w:b/>
        </w:rPr>
        <w:t>H. 3700</w:t>
      </w:r>
    </w:p>
    <w:p w:rsidR="00980469" w:rsidRDefault="00980469" w:rsidP="00980469">
      <w:pPr>
        <w:widowControl w:val="0"/>
        <w:jc w:val="left"/>
        <w:rPr>
          <w:b/>
        </w:rPr>
      </w:pPr>
    </w:p>
    <w:p w:rsidR="00980469" w:rsidRDefault="00980469" w:rsidP="00980469">
      <w:pPr>
        <w:widowControl w:val="0"/>
        <w:jc w:val="left"/>
      </w:pPr>
      <w:r w:rsidRPr="00980469">
        <w:rPr>
          <w:b/>
        </w:rPr>
        <w:t>STATUS INFORMATION</w:t>
      </w:r>
    </w:p>
    <w:p w:rsidR="00980469" w:rsidRDefault="00980469" w:rsidP="00980469">
      <w:pPr>
        <w:widowControl w:val="0"/>
        <w:jc w:val="left"/>
      </w:pPr>
    </w:p>
    <w:p w:rsidR="00980469" w:rsidRDefault="00980469" w:rsidP="00980469">
      <w:pPr>
        <w:widowControl w:val="0"/>
        <w:jc w:val="left"/>
      </w:pPr>
      <w:r>
        <w:t>General Bill</w:t>
      </w:r>
    </w:p>
    <w:p w:rsidR="00980469" w:rsidRDefault="00980469" w:rsidP="00980469">
      <w:pPr>
        <w:widowControl w:val="0"/>
        <w:jc w:val="left"/>
      </w:pPr>
      <w:r>
        <w:t>Sponsors: Rep. G.M. Smith</w:t>
      </w:r>
    </w:p>
    <w:p w:rsidR="00980469" w:rsidRDefault="00980469" w:rsidP="00980469">
      <w:pPr>
        <w:widowControl w:val="0"/>
        <w:jc w:val="left"/>
      </w:pPr>
      <w:r>
        <w:t>Document Path: l:\council\bills\jn\3343ph21.docx</w:t>
      </w:r>
    </w:p>
    <w:p w:rsidR="00980469" w:rsidRDefault="00980469" w:rsidP="00980469">
      <w:pPr>
        <w:widowControl w:val="0"/>
        <w:jc w:val="left"/>
      </w:pPr>
    </w:p>
    <w:p w:rsidR="00980469" w:rsidRDefault="00980469" w:rsidP="00980469">
      <w:pPr>
        <w:widowControl w:val="0"/>
        <w:jc w:val="left"/>
      </w:pPr>
      <w:r>
        <w:t>Introduced in the House on January 26, 2021</w:t>
      </w:r>
    </w:p>
    <w:p w:rsidR="00980469" w:rsidRDefault="00980469" w:rsidP="00980469">
      <w:pPr>
        <w:widowControl w:val="0"/>
        <w:jc w:val="left"/>
      </w:pPr>
      <w:r>
        <w:t xml:space="preserve">Currently residing in the House Committee on </w:t>
      </w:r>
      <w:r w:rsidRPr="00980469">
        <w:rPr>
          <w:b/>
        </w:rPr>
        <w:t>Judiciary</w:t>
      </w:r>
    </w:p>
    <w:p w:rsidR="00980469" w:rsidRDefault="00980469" w:rsidP="00980469">
      <w:pPr>
        <w:widowControl w:val="0"/>
        <w:jc w:val="left"/>
      </w:pPr>
    </w:p>
    <w:p w:rsidR="00980469" w:rsidRDefault="00493786" w:rsidP="00980469">
      <w:pPr>
        <w:widowControl w:val="0"/>
        <w:jc w:val="left"/>
      </w:pPr>
      <w:r>
        <w:t>Summary: Civil remedies</w:t>
      </w:r>
    </w:p>
    <w:p w:rsidR="00980469" w:rsidRDefault="00980469" w:rsidP="00980469">
      <w:pPr>
        <w:widowControl w:val="0"/>
        <w:jc w:val="left"/>
      </w:pPr>
    </w:p>
    <w:p w:rsidR="00980469" w:rsidRDefault="00980469" w:rsidP="00980469">
      <w:pPr>
        <w:widowControl w:val="0"/>
        <w:jc w:val="left"/>
      </w:pPr>
    </w:p>
    <w:p w:rsidR="00980469" w:rsidRDefault="00980469" w:rsidP="009804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0469">
        <w:rPr>
          <w:b/>
        </w:rPr>
        <w:t>HISTORY OF LEGISLATIVE ACTIONS</w:t>
      </w:r>
    </w:p>
    <w:p w:rsidR="00980469" w:rsidRDefault="00980469" w:rsidP="009804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0469" w:rsidRPr="00980469" w:rsidRDefault="00980469" w:rsidP="009804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0469">
        <w:rPr>
          <w:u w:val="single"/>
        </w:rPr>
        <w:tab/>
        <w:t>Date</w:t>
      </w:r>
      <w:r w:rsidRPr="00980469">
        <w:rPr>
          <w:u w:val="single"/>
        </w:rPr>
        <w:tab/>
        <w:t>Body</w:t>
      </w:r>
      <w:r w:rsidRPr="00980469">
        <w:rPr>
          <w:u w:val="single"/>
        </w:rPr>
        <w:tab/>
        <w:t>Action Description with journal page number</w:t>
      </w:r>
      <w:r w:rsidRPr="00980469">
        <w:rPr>
          <w:u w:val="single"/>
        </w:rPr>
        <w:tab/>
      </w:r>
    </w:p>
    <w:p w:rsidR="00647EC5" w:rsidRDefault="00647EC5" w:rsidP="00647E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1/26/2021</w:t>
      </w:r>
      <w:r>
        <w:tab/>
        <w:t>House</w:t>
      </w:r>
      <w:r>
        <w:tab/>
        <w:t>Introduced and read first time (</w:t>
      </w:r>
      <w:hyperlink r:id="rId7" w:history="1">
        <w:r w:rsidRPr="00BD7A4B">
          <w:rPr>
            <w:rStyle w:val="Hyperlink"/>
          </w:rPr>
          <w:t>House Journal</w:t>
        </w:r>
        <w:r w:rsidRPr="00BD7A4B">
          <w:rPr>
            <w:rStyle w:val="Hyperlink"/>
          </w:rPr>
          <w:noBreakHyphen/>
          <w:t>page 8</w:t>
        </w:r>
      </w:hyperlink>
      <w:r>
        <w:t>)</w:t>
      </w:r>
    </w:p>
    <w:p w:rsidR="00647EC5" w:rsidRDefault="00647EC5" w:rsidP="00647E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1/26/2021</w:t>
      </w:r>
      <w:r>
        <w:tab/>
        <w:t>House</w:t>
      </w:r>
      <w:r>
        <w:tab/>
        <w:t xml:space="preserve">Referred to Committee on </w:t>
      </w:r>
      <w:r w:rsidRPr="00BD7A4B">
        <w:rPr>
          <w:b/>
        </w:rPr>
        <w:t>Judiciary</w:t>
      </w:r>
      <w:r>
        <w:t xml:space="preserve"> (</w:t>
      </w:r>
      <w:hyperlink r:id="rId8" w:history="1">
        <w:r w:rsidRPr="00BD7A4B">
          <w:rPr>
            <w:rStyle w:val="Hyperlink"/>
          </w:rPr>
          <w:t>House Journal</w:t>
        </w:r>
        <w:r w:rsidRPr="00BD7A4B">
          <w:rPr>
            <w:rStyle w:val="Hyperlink"/>
          </w:rPr>
          <w:noBreakHyphen/>
          <w:t>page 8</w:t>
        </w:r>
      </w:hyperlink>
      <w:r>
        <w:t>)</w:t>
      </w:r>
    </w:p>
    <w:p w:rsidR="00647EC5" w:rsidRDefault="00647EC5" w:rsidP="00647E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0469" w:rsidRDefault="00980469" w:rsidP="009804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80469">
          <w:rPr>
            <w:rStyle w:val="Hyperlink"/>
          </w:rPr>
          <w:t>legislative information</w:t>
        </w:r>
      </w:hyperlink>
      <w:r>
        <w:t xml:space="preserve"> at the website</w:t>
      </w:r>
    </w:p>
    <w:p w:rsidR="00980469" w:rsidRDefault="00980469" w:rsidP="009804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0469" w:rsidRPr="00980469" w:rsidRDefault="00980469" w:rsidP="009804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0469" w:rsidRDefault="00980469" w:rsidP="00980469">
      <w:pPr>
        <w:widowControl w:val="0"/>
        <w:jc w:val="left"/>
      </w:pPr>
      <w:r w:rsidRPr="00980469">
        <w:rPr>
          <w:b/>
        </w:rPr>
        <w:t>VERSIONS OF THIS BILL</w:t>
      </w:r>
    </w:p>
    <w:p w:rsidR="00980469" w:rsidRDefault="00980469" w:rsidP="00980469">
      <w:pPr>
        <w:widowControl w:val="0"/>
        <w:jc w:val="left"/>
      </w:pPr>
    </w:p>
    <w:p w:rsidR="00980469" w:rsidRDefault="002157FE" w:rsidP="00980469">
      <w:pPr>
        <w:widowControl w:val="0"/>
        <w:jc w:val="left"/>
      </w:pPr>
      <w:hyperlink r:id="rId10" w:history="1">
        <w:r w:rsidR="00980469">
          <w:rPr>
            <w:rStyle w:val="Hyperlink"/>
          </w:rPr>
          <w:t>1/26/2021</w:t>
        </w:r>
      </w:hyperlink>
    </w:p>
    <w:p w:rsidR="00980469" w:rsidRDefault="00980469" w:rsidP="00980469"/>
    <w:p w:rsidR="00980469" w:rsidRDefault="00980469" w:rsidP="00980469">
      <w:pPr>
        <w:sectPr w:rsidR="00980469" w:rsidSect="009804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5E7F" w:rsidRDefault="00375E7F" w:rsidP="00792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3C1" w:rsidRDefault="007923C1" w:rsidP="00792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3C1" w:rsidRDefault="007923C1" w:rsidP="00792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3C1" w:rsidRDefault="007923C1" w:rsidP="00792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3C1" w:rsidRDefault="007923C1" w:rsidP="00792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3C1" w:rsidRDefault="007923C1" w:rsidP="00792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3C1" w:rsidRDefault="007923C1" w:rsidP="00792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5E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4A2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15</w:t>
      </w:r>
      <w:r w:rsidR="006D614A">
        <w:noBreakHyphen/>
      </w:r>
      <w:r>
        <w:t>1</w:t>
      </w:r>
      <w:r w:rsidR="006D614A">
        <w:noBreakHyphen/>
      </w:r>
      <w:r>
        <w:t>350 SO AS TO ESTABLISH REQUIREMENTS FOR DEMANDS FOR PERSONAL INJURY, BODILY INJURY, PROPERTY DAMAGE, OR WRONGFUL DEATH.</w:t>
      </w:r>
      <w:bookmarkStart w:id="4" w:name="titleend"/>
      <w:bookmarkEnd w:id="4"/>
    </w:p>
    <w:p w:rsidR="008A5567" w:rsidRDefault="008A55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A23" w:rsidRDefault="008D4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4A23" w:rsidRDefault="008D4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567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Chapter 1, Title 15 of the 1976 Code is amended by adding: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397C">
        <w:rPr>
          <w:color w:val="000000" w:themeColor="text1"/>
          <w:u w:color="000000" w:themeColor="text1"/>
        </w:rPr>
        <w:t>“Section 15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1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350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For purposes of this section: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Claimant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 person or entity pursuing a tort claim either before or after a civil action has been commenced against a tortfeasor.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Extracontractual damages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any amount of damage that exceeds the total available limit of liability insurance for all of a liability insurer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s liability insurance policies including uninsured and underinsured motorists applicable to a claim for property damage, bodily injury, or wrongful death.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Release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 general release, pro tanto release, covenant not to sue, covenant not to execute, or any other legal document effectuating settlement.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Insurer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the insurance carrier of the tortfeasor or first party insurer who is receiving the demand for settlement.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any offer to settle any claim for personal injury, property damage, bodily injury, or wrongful death made by, or on behalf of, a claimant to a tortfeasor with a liability insurance policy, for purposes of settling a claim against such tortfeasor, which by its terms, must be accepted within a specified time frame.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Tort claim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 claim for personal injury, property damage, bodily injury, or wrongful death.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Tortfeasor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 xml:space="preserve"> means any person claimed to have caused or contributed to cause personal injury, property damage, bodily injury</w:t>
      </w:r>
      <w:r>
        <w:rPr>
          <w:color w:val="000000" w:themeColor="text1"/>
          <w:u w:color="000000" w:themeColor="text1"/>
        </w:rPr>
        <w:t>,</w:t>
      </w:r>
      <w:r w:rsidRPr="0065397C">
        <w:rPr>
          <w:color w:val="000000" w:themeColor="text1"/>
          <w:u w:color="000000" w:themeColor="text1"/>
        </w:rPr>
        <w:t xml:space="preserve"> or wrongful death to a claimant.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A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must: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be in writing;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reference this section;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 xml:space="preserve">be labeled </w:t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time sensitive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; and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be sent certified mail with return receipt requested or overnight delivery</w:t>
      </w:r>
      <w:r>
        <w:rPr>
          <w:color w:val="000000" w:themeColor="text1"/>
          <w:u w:color="000000" w:themeColor="text1"/>
        </w:rPr>
        <w:t xml:space="preserve"> to the claims department of </w:t>
      </w:r>
      <w:r w:rsidRPr="0065397C">
        <w:rPr>
          <w:color w:val="000000" w:themeColor="text1"/>
          <w:u w:color="000000" w:themeColor="text1"/>
        </w:rPr>
        <w:t>the tortfeasor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s liability insurer.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must contain the following material terms: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a specific monetary sum to settle the tort claim;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the type of release the claimant will execute in exchange for the monetary sum demanded;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the persons or entities to be released;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a description of the tort claims to be released if such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is accepted;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 xml:space="preserve">the specific date and time </w:t>
      </w:r>
      <w:r>
        <w:rPr>
          <w:color w:val="000000" w:themeColor="text1"/>
          <w:u w:color="000000" w:themeColor="text1"/>
        </w:rPr>
        <w:t xml:space="preserve">by </w:t>
      </w:r>
      <w:r w:rsidRPr="0065397C">
        <w:rPr>
          <w:color w:val="000000" w:themeColor="text1"/>
          <w:u w:color="000000" w:themeColor="text1"/>
        </w:rPr>
        <w:t>which the settlement offer must be accepted;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the following language in bold</w:t>
      </w:r>
      <w:r>
        <w:rPr>
          <w:color w:val="000000" w:themeColor="text1"/>
          <w:u w:color="000000" w:themeColor="text1"/>
        </w:rPr>
        <w:t xml:space="preserve"> </w:t>
      </w:r>
      <w:r w:rsidRPr="0065397C">
        <w:rPr>
          <w:color w:val="000000" w:themeColor="text1"/>
          <w:u w:color="000000" w:themeColor="text1"/>
        </w:rPr>
        <w:t xml:space="preserve">type, number twelve font or larger on the first page: </w:t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(g)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the date and location of the loss;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(h)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the claim number, if known;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(i) 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a description of all known injuries sustained by the claimant;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(j)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an explanation of the theory of liability against the tortfeasor, or each tortfeasor if the demand is presented to multiple tortfeasors; and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(k)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 xml:space="preserve">disclosure of eligibility or information sufficient to verify eligibility for Medicare, Medicaid, any other </w:t>
      </w:r>
      <w:r>
        <w:rPr>
          <w:color w:val="000000" w:themeColor="text1"/>
          <w:u w:color="000000" w:themeColor="text1"/>
        </w:rPr>
        <w:t>f</w:t>
      </w:r>
      <w:r w:rsidRPr="0065397C">
        <w:rPr>
          <w:color w:val="000000" w:themeColor="text1"/>
          <w:u w:color="000000" w:themeColor="text1"/>
        </w:rPr>
        <w:t xml:space="preserve">ederal or </w:t>
      </w:r>
      <w:r>
        <w:rPr>
          <w:color w:val="000000" w:themeColor="text1"/>
          <w:u w:color="000000" w:themeColor="text1"/>
        </w:rPr>
        <w:t>s</w:t>
      </w:r>
      <w:r w:rsidRPr="0065397C">
        <w:rPr>
          <w:color w:val="000000" w:themeColor="text1"/>
          <w:u w:color="000000" w:themeColor="text1"/>
        </w:rPr>
        <w:t xml:space="preserve">tate benefit program, and any other known liens or assignments granted by the claimant that </w:t>
      </w:r>
      <w:r>
        <w:rPr>
          <w:color w:val="000000" w:themeColor="text1"/>
          <w:u w:color="000000" w:themeColor="text1"/>
        </w:rPr>
        <w:t xml:space="preserve">may </w:t>
      </w:r>
      <w:r w:rsidRPr="0065397C">
        <w:rPr>
          <w:color w:val="000000" w:themeColor="text1"/>
          <w:u w:color="000000" w:themeColor="text1"/>
        </w:rPr>
        <w:t>apply to any of the damages claimed.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Any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 xml:space="preserve">limited demand as outlined in </w:t>
      </w:r>
      <w:r>
        <w:rPr>
          <w:color w:val="000000" w:themeColor="text1"/>
          <w:u w:color="000000" w:themeColor="text1"/>
        </w:rPr>
        <w:t xml:space="preserve">this subsection </w:t>
      </w:r>
      <w:r w:rsidRPr="0065397C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must </w:t>
      </w:r>
      <w:r w:rsidRPr="0065397C">
        <w:rPr>
          <w:color w:val="000000" w:themeColor="text1"/>
          <w:u w:color="000000" w:themeColor="text1"/>
        </w:rPr>
        <w:t>include the following: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Medical records and bills from all health</w:t>
      </w:r>
      <w:r>
        <w:rPr>
          <w:color w:val="000000" w:themeColor="text1"/>
          <w:u w:color="000000" w:themeColor="text1"/>
        </w:rPr>
        <w:t xml:space="preserve"> </w:t>
      </w:r>
      <w:r w:rsidRPr="0065397C">
        <w:rPr>
          <w:color w:val="000000" w:themeColor="text1"/>
          <w:u w:color="000000" w:themeColor="text1"/>
        </w:rPr>
        <w:t>care providers who provided treatment or evaluation of the claimant or decedent for the injuries suffered from the tort claim from</w:t>
      </w:r>
      <w:r>
        <w:rPr>
          <w:color w:val="000000" w:themeColor="text1"/>
          <w:u w:color="000000" w:themeColor="text1"/>
        </w:rPr>
        <w:t xml:space="preserve"> the</w:t>
      </w:r>
      <w:r w:rsidRPr="0065397C">
        <w:rPr>
          <w:color w:val="000000" w:themeColor="text1"/>
          <w:u w:color="000000" w:themeColor="text1"/>
        </w:rPr>
        <w:t xml:space="preserve"> date of injury until the date of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Records of earnings, compensation, or wages, however denominated, from the claimant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s employers or tax records must be provi</w:t>
      </w:r>
      <w:r>
        <w:rPr>
          <w:color w:val="000000" w:themeColor="text1"/>
          <w:u w:color="000000" w:themeColor="text1"/>
        </w:rPr>
        <w:t>ded by the claimant if he</w:t>
      </w:r>
      <w:r w:rsidRPr="0065397C">
        <w:rPr>
          <w:color w:val="000000" w:themeColor="text1"/>
          <w:u w:color="000000" w:themeColor="text1"/>
        </w:rPr>
        <w:t xml:space="preserve"> alleges a claim for lost wages.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Any additional terms included in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demand, not specifically set forth in section (B)</w:t>
      </w:r>
      <w:r>
        <w:rPr>
          <w:color w:val="000000" w:themeColor="text1"/>
          <w:u w:color="000000" w:themeColor="text1"/>
        </w:rPr>
        <w:t>,</w:t>
      </w:r>
      <w:r w:rsidRPr="0065397C">
        <w:rPr>
          <w:color w:val="000000" w:themeColor="text1"/>
          <w:u w:color="000000" w:themeColor="text1"/>
        </w:rPr>
        <w:t xml:space="preserve"> are deemed nonmaterial and must be clearly designated in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 xml:space="preserve">limited demand as </w:t>
      </w:r>
      <w:r w:rsidR="006D614A" w:rsidRPr="006D614A">
        <w:rPr>
          <w:color w:val="000000" w:themeColor="text1"/>
          <w:u w:color="000000" w:themeColor="text1"/>
        </w:rPr>
        <w:t>‘</w:t>
      </w:r>
      <w:r w:rsidRPr="0065397C">
        <w:rPr>
          <w:color w:val="000000" w:themeColor="text1"/>
          <w:u w:color="000000" w:themeColor="text1"/>
        </w:rPr>
        <w:t>Additional Terms Pursuant to South Carolina Code Section 15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1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350(C)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Prior to the expiration of the date and time included in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demand, the parties have the right to negotiate any nonmaterial terms, and negotiation of nonmaterial terms does not constitute a rejection of or counteroffer to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demand.  Examples of nonmaterial terms of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include, but are not limited to, the following: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6539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 xml:space="preserve">the exact terms and conditions of the release, not including those material terms contained in </w:t>
      </w:r>
      <w:r>
        <w:rPr>
          <w:color w:val="000000" w:themeColor="text1"/>
          <w:u w:color="000000" w:themeColor="text1"/>
        </w:rPr>
        <w:t>sub</w:t>
      </w:r>
      <w:r w:rsidRPr="0065397C">
        <w:rPr>
          <w:color w:val="000000" w:themeColor="text1"/>
          <w:u w:color="000000" w:themeColor="text1"/>
        </w:rPr>
        <w:t>section (B);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6539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how liens and subrogation claims will be satisfied from the proceeds of the settlement;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</w:t>
      </w:r>
      <w:r w:rsidRPr="006539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whether the settlement includes the release of tort claims not possessed by the claimant, but that arise out of the same occurrence as the tort claim possessed by the claimant; and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</w:t>
      </w:r>
      <w:r w:rsidRPr="0065397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 xml:space="preserve">whether there are additional parties that need to be included in the release based upon the causes of action asserted. 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  <w:t>A person or entity receiving a time</w:t>
      </w:r>
      <w:r w:rsidR="006D614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limited demand has at least sixty days from the receipt of the demand to accept the same.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Upon receipt of a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demand, the person or entity receiving the demand on behalf of the tortfeasor has the right to seek clarification of any material or nonmaterial terms contained in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issued by the claimant.  Any attempt to seek clarification of material or nonmaterial terms does not constitute a rejection of or a counteroffer to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by the tortfeasor, and any time limit imposed is deemed extended for a minimum of thirty days from the date of the clarification request or for fifteen days after such clarification is received by the tortfeasor, whichever is greater.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(G)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The person or entity providing payment to satisfy the tort claim shall, within ten business days from the date of written acceptance of the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or from the date the settlement is approved by the court, if required, deliver payment to the address specified by the claimant, unless a</w:t>
      </w:r>
      <w:r>
        <w:rPr>
          <w:color w:val="000000" w:themeColor="text1"/>
          <w:u w:color="000000" w:themeColor="text1"/>
        </w:rPr>
        <w:t xml:space="preserve"> longer period is agreed upon. </w:t>
      </w:r>
      <w:r w:rsidRPr="0065397C">
        <w:rPr>
          <w:color w:val="000000" w:themeColor="text1"/>
          <w:u w:color="000000" w:themeColor="text1"/>
        </w:rPr>
        <w:t>The person or entity paying the settlement may do so by one of the following wa</w:t>
      </w:r>
      <w:r>
        <w:rPr>
          <w:color w:val="000000" w:themeColor="text1"/>
          <w:u w:color="000000" w:themeColor="text1"/>
        </w:rPr>
        <w:t>y</w:t>
      </w:r>
      <w:r w:rsidRPr="0065397C">
        <w:rPr>
          <w:color w:val="000000" w:themeColor="text1"/>
          <w:u w:color="000000" w:themeColor="text1"/>
        </w:rPr>
        <w:t>s: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cash;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money order;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wire transfer;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cashier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s check issued by a bank or other financial institution</w:t>
      </w:r>
      <w:r>
        <w:rPr>
          <w:color w:val="000000" w:themeColor="text1"/>
          <w:u w:color="000000" w:themeColor="text1"/>
        </w:rPr>
        <w:t>;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draft or bank check</w:t>
      </w:r>
      <w:r>
        <w:rPr>
          <w:color w:val="000000" w:themeColor="text1"/>
          <w:u w:color="000000" w:themeColor="text1"/>
        </w:rPr>
        <w:t xml:space="preserve"> issued by an insurance company;</w:t>
      </w:r>
      <w:r w:rsidRPr="0065397C">
        <w:rPr>
          <w:color w:val="000000" w:themeColor="text1"/>
          <w:u w:color="000000" w:themeColor="text1"/>
        </w:rPr>
        <w:t xml:space="preserve"> or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electronic funds transfer or other method of electronic payment.</w:t>
      </w:r>
    </w:p>
    <w:p w:rsidR="008A5567" w:rsidRPr="0065397C" w:rsidRDefault="008A5567" w:rsidP="008A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(H)</w:t>
      </w:r>
      <w:r>
        <w:rPr>
          <w:color w:val="000000" w:themeColor="text1"/>
          <w:u w:color="000000" w:themeColor="text1"/>
        </w:rPr>
        <w:tab/>
      </w:r>
      <w:r w:rsidRPr="0065397C">
        <w:rPr>
          <w:color w:val="000000" w:themeColor="text1"/>
          <w:u w:color="000000" w:themeColor="text1"/>
        </w:rPr>
        <w:t>In any lawsuit filed by a claimant, or by a claimant as an assignee of the tortfeasor or by the tortfeasor for the benefit of the claimant, a time</w:t>
      </w:r>
      <w:r w:rsidR="006D614A">
        <w:rPr>
          <w:color w:val="000000" w:themeColor="text1"/>
          <w:u w:color="000000" w:themeColor="text1"/>
        </w:rPr>
        <w:noBreakHyphen/>
      </w:r>
      <w:r w:rsidRPr="0065397C">
        <w:rPr>
          <w:color w:val="000000" w:themeColor="text1"/>
          <w:u w:color="000000" w:themeColor="text1"/>
        </w:rPr>
        <w:t>limited demand that does not strictly comply with the terms of this section must not be considered as a reasonable opportunity to settle for the insurer and is not admissibl</w:t>
      </w:r>
      <w:r>
        <w:rPr>
          <w:color w:val="000000" w:themeColor="text1"/>
          <w:u w:color="000000" w:themeColor="text1"/>
        </w:rPr>
        <w:t>e in any lawsuit alleging extra</w:t>
      </w:r>
      <w:r w:rsidRPr="0065397C">
        <w:rPr>
          <w:color w:val="000000" w:themeColor="text1"/>
          <w:u w:color="000000" w:themeColor="text1"/>
        </w:rPr>
        <w:t>contractual damages against the tortfeasor</w:t>
      </w:r>
      <w:r w:rsidR="006D614A" w:rsidRPr="006D614A">
        <w:rPr>
          <w:color w:val="000000" w:themeColor="text1"/>
          <w:u w:color="000000" w:themeColor="text1"/>
        </w:rPr>
        <w:t>’</w:t>
      </w:r>
      <w:r w:rsidRPr="0065397C">
        <w:rPr>
          <w:color w:val="000000" w:themeColor="text1"/>
          <w:u w:color="000000" w:themeColor="text1"/>
        </w:rPr>
        <w:t>s liability insurer.</w:t>
      </w:r>
      <w:r>
        <w:rPr>
          <w:color w:val="000000" w:themeColor="text1"/>
          <w:u w:color="000000" w:themeColor="text1"/>
        </w:rPr>
        <w:t>”</w:t>
      </w:r>
    </w:p>
    <w:p w:rsidR="008D4A23" w:rsidRDefault="008D4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A23" w:rsidRDefault="008D4A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A5567">
        <w:t>2</w:t>
      </w:r>
      <w:r>
        <w:t>.</w:t>
      </w:r>
      <w:r>
        <w:tab/>
        <w:t>This act takes effect upon approval by the Governor.</w:t>
      </w:r>
    </w:p>
    <w:p w:rsidR="00095A84" w:rsidRDefault="006D61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0469" w:rsidRDefault="00980469" w:rsidP="00980469">
      <w:pPr>
        <w:suppressAutoHyphens/>
      </w:pPr>
    </w:p>
    <w:sectPr w:rsidR="00980469" w:rsidSect="0098046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A23" w:rsidRDefault="008D4A23" w:rsidP="009F0C77">
      <w:r>
        <w:separator/>
      </w:r>
    </w:p>
  </w:endnote>
  <w:endnote w:type="continuationSeparator" w:id="0">
    <w:p w:rsidR="008D4A23" w:rsidRDefault="008D4A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3FA2EF-43E8-4472-B330-586B4C1C8DDC}"/>
    <w:embedBold r:id="rId2" w:fontKey="{D5A313D9-524A-4DF4-8763-1795D75BE3E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1D7CB46-0823-4E6D-AC14-7F1903BF7C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1273996-1ED4-4678-ABD3-31FCF93926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94AFB20-7475-4722-AAEF-5A3BD71BAA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469" w:rsidRPr="00375E7F" w:rsidRDefault="00980469" w:rsidP="00375E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937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A23" w:rsidRDefault="008D4A23" w:rsidP="009F0C77">
      <w:r>
        <w:separator/>
      </w:r>
    </w:p>
  </w:footnote>
  <w:footnote w:type="continuationSeparator" w:id="0">
    <w:p w:rsidR="008D4A23" w:rsidRDefault="008D4A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43PH21"/>
    <w:docVar w:name="CoverBillType" w:val="b"/>
    <w:docVar w:name="DocPath" w:val="L:\Council\bills\JN\3343PH21.DOCX"/>
    <w:docVar w:name="dvBillNumber" w:val="370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8D4A23"/>
    <w:rsid w:val="00011869"/>
    <w:rsid w:val="00015CD6"/>
    <w:rsid w:val="00095A8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5E7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786"/>
    <w:rsid w:val="004C009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EC5"/>
    <w:rsid w:val="006913C9"/>
    <w:rsid w:val="0069470D"/>
    <w:rsid w:val="006D58AA"/>
    <w:rsid w:val="006D614A"/>
    <w:rsid w:val="00734F00"/>
    <w:rsid w:val="00736959"/>
    <w:rsid w:val="007923C1"/>
    <w:rsid w:val="007A70AE"/>
    <w:rsid w:val="008362E8"/>
    <w:rsid w:val="0085786E"/>
    <w:rsid w:val="008A1768"/>
    <w:rsid w:val="008A489F"/>
    <w:rsid w:val="008A5567"/>
    <w:rsid w:val="008D4A23"/>
    <w:rsid w:val="008F0F33"/>
    <w:rsid w:val="008F4429"/>
    <w:rsid w:val="0094021A"/>
    <w:rsid w:val="0098046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222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E06C76-367F-44CE-ACDF-07439CE51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1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14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04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700_202101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0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06B38-DA75-484A-85E8-62B3F8BDB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1180</Words>
  <Characters>6480</Characters>
  <Application>Microsoft Office Word</Application>
  <DocSecurity>0</DocSecurity>
  <Lines>190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3700: Subject not yet available - South Carolina Legislature Online</dc:title>
  <dc:creator>Julie Newboult</dc:creator>
  <cp:lastModifiedBy>S Wilson</cp:lastModifiedBy>
  <cp:revision>2</cp:revision>
  <cp:lastPrinted>2021-01-12T16:14:00Z</cp:lastPrinted>
  <dcterms:created xsi:type="dcterms:W3CDTF">2021-01-28T20:50:00Z</dcterms:created>
  <dcterms:modified xsi:type="dcterms:W3CDTF">2021-01-28T20:50:00Z</dcterms:modified>
</cp:coreProperties>
</file>