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800" w:rsidRDefault="00720800" w:rsidP="00720800">
      <w:pPr>
        <w:widowControl w:val="0"/>
        <w:jc w:val="center"/>
      </w:pPr>
      <w:r w:rsidRPr="00720800">
        <w:rPr>
          <w:b/>
        </w:rPr>
        <w:t>South Carolina General Assembly</w:t>
      </w:r>
    </w:p>
    <w:p w:rsidR="00720800" w:rsidRDefault="00720800" w:rsidP="00720800">
      <w:pPr>
        <w:widowControl w:val="0"/>
        <w:jc w:val="center"/>
      </w:pPr>
      <w:r>
        <w:t>124th Session, 2021-2022</w:t>
      </w:r>
    </w:p>
    <w:p w:rsidR="00720800" w:rsidRDefault="00720800" w:rsidP="00720800">
      <w:pPr>
        <w:widowControl w:val="0"/>
        <w:jc w:val="left"/>
      </w:pPr>
    </w:p>
    <w:p w:rsidR="00720800" w:rsidRDefault="00720800" w:rsidP="00720800">
      <w:pPr>
        <w:widowControl w:val="0"/>
        <w:jc w:val="left"/>
        <w:rPr>
          <w:b/>
        </w:rPr>
      </w:pPr>
      <w:r w:rsidRPr="00720800">
        <w:rPr>
          <w:b/>
        </w:rPr>
        <w:t>H. 3967</w:t>
      </w:r>
    </w:p>
    <w:p w:rsidR="00720800" w:rsidRDefault="00720800" w:rsidP="00720800">
      <w:pPr>
        <w:widowControl w:val="0"/>
        <w:jc w:val="left"/>
        <w:rPr>
          <w:b/>
        </w:rPr>
      </w:pPr>
    </w:p>
    <w:p w:rsidR="00720800" w:rsidRDefault="00720800" w:rsidP="00720800">
      <w:pPr>
        <w:widowControl w:val="0"/>
        <w:jc w:val="left"/>
      </w:pPr>
      <w:r w:rsidRPr="00720800">
        <w:rPr>
          <w:b/>
        </w:rPr>
        <w:t>STATUS INFORMATION</w:t>
      </w:r>
    </w:p>
    <w:p w:rsidR="00720800" w:rsidRDefault="00720800" w:rsidP="00720800">
      <w:pPr>
        <w:widowControl w:val="0"/>
        <w:jc w:val="left"/>
      </w:pPr>
    </w:p>
    <w:p w:rsidR="00720800" w:rsidRDefault="00720800" w:rsidP="00720800">
      <w:pPr>
        <w:widowControl w:val="0"/>
        <w:jc w:val="left"/>
      </w:pPr>
      <w:r>
        <w:t>General Bill</w:t>
      </w:r>
    </w:p>
    <w:p w:rsidR="00720800" w:rsidRDefault="005E09F4" w:rsidP="00720800">
      <w:pPr>
        <w:widowControl w:val="0"/>
        <w:jc w:val="left"/>
      </w:pPr>
      <w:r>
        <w:t>Sponsors: Reps. Matthews, McKnight, Brawley and J.L. Johnson</w:t>
      </w:r>
    </w:p>
    <w:p w:rsidR="00720800" w:rsidRDefault="00720800" w:rsidP="00720800">
      <w:pPr>
        <w:widowControl w:val="0"/>
        <w:jc w:val="left"/>
      </w:pPr>
      <w:r>
        <w:t>Document Path: l:\council\bills\rt\17983wab21.docx</w:t>
      </w:r>
    </w:p>
    <w:p w:rsidR="00720800" w:rsidRDefault="00720800" w:rsidP="00720800">
      <w:pPr>
        <w:widowControl w:val="0"/>
        <w:jc w:val="left"/>
      </w:pPr>
    </w:p>
    <w:p w:rsidR="00720800" w:rsidRDefault="00720800" w:rsidP="00720800">
      <w:pPr>
        <w:widowControl w:val="0"/>
        <w:jc w:val="left"/>
      </w:pPr>
      <w:r>
        <w:t>Introduced in the House on February 24, 2021</w:t>
      </w:r>
    </w:p>
    <w:p w:rsidR="00720800" w:rsidRDefault="00720800" w:rsidP="00720800">
      <w:pPr>
        <w:widowControl w:val="0"/>
        <w:jc w:val="left"/>
      </w:pPr>
      <w:r>
        <w:t xml:space="preserve">Currently residing in the House Committee on </w:t>
      </w:r>
      <w:r w:rsidRPr="00720800">
        <w:rPr>
          <w:b/>
        </w:rPr>
        <w:t>Judiciary</w:t>
      </w:r>
    </w:p>
    <w:p w:rsidR="00720800" w:rsidRDefault="00720800" w:rsidP="00720800">
      <w:pPr>
        <w:widowControl w:val="0"/>
        <w:jc w:val="left"/>
      </w:pPr>
    </w:p>
    <w:p w:rsidR="00720800" w:rsidRDefault="00720800" w:rsidP="00720800">
      <w:pPr>
        <w:widowControl w:val="0"/>
        <w:jc w:val="left"/>
      </w:pPr>
      <w:r>
        <w:t>Summary: School district lobbying disclosures</w:t>
      </w:r>
    </w:p>
    <w:p w:rsidR="00720800" w:rsidRDefault="00720800" w:rsidP="00720800">
      <w:pPr>
        <w:widowControl w:val="0"/>
        <w:jc w:val="left"/>
      </w:pPr>
    </w:p>
    <w:p w:rsidR="00720800" w:rsidRDefault="00720800" w:rsidP="00720800">
      <w:pPr>
        <w:widowControl w:val="0"/>
        <w:jc w:val="left"/>
      </w:pPr>
    </w:p>
    <w:p w:rsidR="00720800" w:rsidRDefault="00720800" w:rsidP="00720800">
      <w:pPr>
        <w:widowControl w:val="0"/>
        <w:tabs>
          <w:tab w:val="center" w:pos="590"/>
          <w:tab w:val="center" w:pos="1440"/>
          <w:tab w:val="left" w:pos="1872"/>
          <w:tab w:val="left" w:pos="9187"/>
        </w:tabs>
        <w:jc w:val="left"/>
      </w:pPr>
      <w:r w:rsidRPr="00720800">
        <w:rPr>
          <w:b/>
        </w:rPr>
        <w:t>HISTORY OF LEGISLATIVE ACTIONS</w:t>
      </w:r>
    </w:p>
    <w:p w:rsidR="00720800" w:rsidRDefault="00720800" w:rsidP="00720800">
      <w:pPr>
        <w:widowControl w:val="0"/>
        <w:tabs>
          <w:tab w:val="center" w:pos="590"/>
          <w:tab w:val="center" w:pos="1440"/>
          <w:tab w:val="left" w:pos="1872"/>
          <w:tab w:val="left" w:pos="9187"/>
        </w:tabs>
        <w:jc w:val="left"/>
      </w:pPr>
    </w:p>
    <w:p w:rsidR="00720800" w:rsidRPr="00720800" w:rsidRDefault="00720800" w:rsidP="00720800">
      <w:pPr>
        <w:widowControl w:val="0"/>
        <w:tabs>
          <w:tab w:val="center" w:pos="590"/>
          <w:tab w:val="center" w:pos="1440"/>
          <w:tab w:val="left" w:pos="1872"/>
          <w:tab w:val="left" w:pos="9187"/>
        </w:tabs>
        <w:jc w:val="left"/>
      </w:pPr>
      <w:r w:rsidRPr="00720800">
        <w:rPr>
          <w:u w:val="single"/>
        </w:rPr>
        <w:tab/>
        <w:t>Date</w:t>
      </w:r>
      <w:r w:rsidRPr="00720800">
        <w:rPr>
          <w:u w:val="single"/>
        </w:rPr>
        <w:tab/>
        <w:t>Body</w:t>
      </w:r>
      <w:r w:rsidRPr="00720800">
        <w:rPr>
          <w:u w:val="single"/>
        </w:rPr>
        <w:tab/>
        <w:t>Action Description with journal page number</w:t>
      </w:r>
      <w:r w:rsidRPr="00720800">
        <w:rPr>
          <w:u w:val="single"/>
        </w:rPr>
        <w:tab/>
      </w:r>
    </w:p>
    <w:p w:rsidR="005E09F4" w:rsidRDefault="005E09F4" w:rsidP="005E09F4">
      <w:pPr>
        <w:widowControl w:val="0"/>
        <w:tabs>
          <w:tab w:val="right" w:pos="1008"/>
          <w:tab w:val="left" w:pos="1152"/>
          <w:tab w:val="left" w:pos="1872"/>
          <w:tab w:val="left" w:pos="9187"/>
        </w:tabs>
        <w:ind w:left="2088" w:hanging="2088"/>
      </w:pPr>
      <w:r>
        <w:tab/>
        <w:t>2/24/2021</w:t>
      </w:r>
      <w:r>
        <w:tab/>
        <w:t>House</w:t>
      </w:r>
      <w:r>
        <w:tab/>
        <w:t>Introduced and read first time (</w:t>
      </w:r>
      <w:hyperlink r:id="rId7" w:history="1">
        <w:r w:rsidRPr="00550CFE">
          <w:rPr>
            <w:rStyle w:val="Hyperlink"/>
          </w:rPr>
          <w:t>House Journal</w:t>
        </w:r>
        <w:r w:rsidRPr="00550CFE">
          <w:rPr>
            <w:rStyle w:val="Hyperlink"/>
          </w:rPr>
          <w:noBreakHyphen/>
          <w:t>page 8</w:t>
        </w:r>
      </w:hyperlink>
      <w:r>
        <w:t>)</w:t>
      </w:r>
    </w:p>
    <w:p w:rsidR="005E09F4" w:rsidRDefault="005E09F4" w:rsidP="005E09F4">
      <w:pPr>
        <w:widowControl w:val="0"/>
        <w:tabs>
          <w:tab w:val="right" w:pos="1008"/>
          <w:tab w:val="left" w:pos="1152"/>
          <w:tab w:val="left" w:pos="1872"/>
          <w:tab w:val="left" w:pos="9187"/>
        </w:tabs>
        <w:ind w:left="2088" w:hanging="2088"/>
      </w:pPr>
      <w:r>
        <w:tab/>
        <w:t>2/24/2021</w:t>
      </w:r>
      <w:r>
        <w:tab/>
        <w:t>House</w:t>
      </w:r>
      <w:r>
        <w:tab/>
        <w:t xml:space="preserve">Referred to Committee on </w:t>
      </w:r>
      <w:r w:rsidRPr="00550CFE">
        <w:rPr>
          <w:b/>
        </w:rPr>
        <w:t>Judiciary</w:t>
      </w:r>
      <w:r>
        <w:t xml:space="preserve"> (</w:t>
      </w:r>
      <w:hyperlink r:id="rId8" w:history="1">
        <w:r w:rsidRPr="00550CFE">
          <w:rPr>
            <w:rStyle w:val="Hyperlink"/>
          </w:rPr>
          <w:t>House Journal</w:t>
        </w:r>
        <w:r w:rsidRPr="00550CFE">
          <w:rPr>
            <w:rStyle w:val="Hyperlink"/>
          </w:rPr>
          <w:noBreakHyphen/>
          <w:t>page 8</w:t>
        </w:r>
      </w:hyperlink>
      <w:r>
        <w:t>)</w:t>
      </w:r>
    </w:p>
    <w:p w:rsidR="005E09F4" w:rsidRDefault="005E09F4" w:rsidP="005E09F4">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5E09F4" w:rsidRDefault="005E09F4" w:rsidP="005E09F4">
      <w:pPr>
        <w:widowControl w:val="0"/>
        <w:tabs>
          <w:tab w:val="right" w:pos="1008"/>
          <w:tab w:val="left" w:pos="1152"/>
          <w:tab w:val="left" w:pos="1872"/>
          <w:tab w:val="left" w:pos="9187"/>
        </w:tabs>
        <w:ind w:left="2088" w:hanging="2088"/>
      </w:pPr>
    </w:p>
    <w:p w:rsidR="00720800" w:rsidRDefault="00720800" w:rsidP="007208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0800">
          <w:rPr>
            <w:rStyle w:val="Hyperlink"/>
          </w:rPr>
          <w:t>legislative information</w:t>
        </w:r>
      </w:hyperlink>
      <w:r>
        <w:t xml:space="preserve"> at the website</w:t>
      </w:r>
    </w:p>
    <w:p w:rsidR="00720800" w:rsidRDefault="00720800" w:rsidP="00720800">
      <w:pPr>
        <w:widowControl w:val="0"/>
        <w:tabs>
          <w:tab w:val="right" w:pos="1008"/>
          <w:tab w:val="left" w:pos="1152"/>
          <w:tab w:val="left" w:pos="1872"/>
          <w:tab w:val="left" w:pos="9187"/>
        </w:tabs>
        <w:ind w:left="2088" w:hanging="2088"/>
        <w:jc w:val="left"/>
      </w:pPr>
    </w:p>
    <w:p w:rsidR="00720800" w:rsidRPr="00720800" w:rsidRDefault="00720800" w:rsidP="00720800">
      <w:pPr>
        <w:widowControl w:val="0"/>
        <w:tabs>
          <w:tab w:val="right" w:pos="1008"/>
          <w:tab w:val="left" w:pos="1152"/>
          <w:tab w:val="left" w:pos="1872"/>
          <w:tab w:val="left" w:pos="9187"/>
        </w:tabs>
        <w:ind w:left="2088" w:hanging="2088"/>
        <w:jc w:val="left"/>
      </w:pPr>
    </w:p>
    <w:p w:rsidR="00720800" w:rsidRDefault="00720800" w:rsidP="00720800">
      <w:pPr>
        <w:widowControl w:val="0"/>
        <w:jc w:val="left"/>
      </w:pPr>
      <w:r w:rsidRPr="00720800">
        <w:rPr>
          <w:b/>
        </w:rPr>
        <w:t>VERSIONS OF THIS BILL</w:t>
      </w:r>
    </w:p>
    <w:p w:rsidR="00720800" w:rsidRDefault="00720800" w:rsidP="00720800">
      <w:pPr>
        <w:widowControl w:val="0"/>
        <w:jc w:val="left"/>
      </w:pPr>
    </w:p>
    <w:p w:rsidR="00720800" w:rsidRDefault="006B10E1" w:rsidP="00720800">
      <w:pPr>
        <w:widowControl w:val="0"/>
        <w:jc w:val="left"/>
      </w:pPr>
      <w:hyperlink r:id="rId10" w:history="1">
        <w:r w:rsidR="00720800">
          <w:rPr>
            <w:rStyle w:val="Hyperlink"/>
          </w:rPr>
          <w:t>2/24/2021</w:t>
        </w:r>
      </w:hyperlink>
    </w:p>
    <w:p w:rsidR="00720800" w:rsidRDefault="00720800" w:rsidP="00720800"/>
    <w:p w:rsidR="00720800" w:rsidRDefault="00720800" w:rsidP="00720800">
      <w:pPr>
        <w:sectPr w:rsidR="00720800" w:rsidSect="00720800">
          <w:pgSz w:w="12240" w:h="15840" w:code="1"/>
          <w:pgMar w:top="1080" w:right="1440" w:bottom="1080" w:left="1440" w:header="720" w:footer="720" w:gutter="0"/>
          <w:cols w:space="720"/>
          <w:noEndnote/>
          <w:docGrid w:linePitch="360"/>
        </w:sectPr>
      </w:pPr>
    </w:p>
    <w:p w:rsidR="002F0E52" w:rsidRDefault="002F0E52"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906" w:rsidRDefault="008C19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D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CA2">
        <w:rPr>
          <w:color w:val="000000" w:themeColor="text1"/>
          <w:u w:color="000000" w:themeColor="text1"/>
        </w:rPr>
        <w:t>TO AMEND THE CODE OF LAWS OF SOUTH CAROLINA, 1976, BY ADDING SECTION 59</w:t>
      </w:r>
      <w:r>
        <w:rPr>
          <w:color w:val="000000" w:themeColor="text1"/>
          <w:u w:color="000000" w:themeColor="text1"/>
        </w:rPr>
        <w:noBreakHyphen/>
      </w:r>
      <w:r w:rsidRPr="00090CA2">
        <w:rPr>
          <w:color w:val="000000" w:themeColor="text1"/>
          <w:u w:color="000000" w:themeColor="text1"/>
        </w:rPr>
        <w:t>19</w:t>
      </w:r>
      <w:r>
        <w:rPr>
          <w:color w:val="000000" w:themeColor="text1"/>
          <w:u w:color="000000" w:themeColor="text1"/>
        </w:rPr>
        <w:noBreakHyphen/>
      </w:r>
      <w:r w:rsidRPr="00090CA2">
        <w:rPr>
          <w:color w:val="000000" w:themeColor="text1"/>
          <w:u w:color="000000" w:themeColor="text1"/>
        </w:rPr>
        <w:t>94 SO AS TO PROVIDE SCHOOL DISTRICTS THAT EMPLOY OR OTHERWISE RETAIN LOBBYISTS SHALL PROVIDE CERTAIN RELATED NOTICE TO ALL PARENTS OF STUDENTS ENROLLED IN THE DISTRICT, TO PROVIDE THE DISTRICTS ALSO SHALL PROVIDE THE PARENTS WITH ITS REPORT OF DISTRICT EXPENDITURES ON LOBBYISTS IN A CERTAIN MANNER,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D6A" w:rsidRDefault="00533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D6A" w:rsidRDefault="00533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1CC" w:rsidRPr="00090CA2" w:rsidRDefault="00533D6A"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71CC">
        <w:t>A</w:t>
      </w:r>
      <w:r w:rsidR="003171CC" w:rsidRPr="00090CA2">
        <w:rPr>
          <w:color w:val="000000" w:themeColor="text1"/>
          <w:u w:color="000000" w:themeColor="text1"/>
        </w:rPr>
        <w:t>rticle 1, Chapter 19, Title 59 of the 1976 Code is amended by adding:</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CA2">
        <w:rPr>
          <w:color w:val="000000" w:themeColor="text1"/>
          <w:u w:color="000000" w:themeColor="text1"/>
        </w:rPr>
        <w:t>“Section 59</w:t>
      </w:r>
      <w:r>
        <w:rPr>
          <w:color w:val="000000" w:themeColor="text1"/>
          <w:u w:color="000000" w:themeColor="text1"/>
        </w:rPr>
        <w:noBreakHyphen/>
      </w:r>
      <w:r w:rsidRPr="00090CA2">
        <w:rPr>
          <w:color w:val="000000" w:themeColor="text1"/>
          <w:u w:color="000000" w:themeColor="text1"/>
        </w:rPr>
        <w:t>19</w:t>
      </w:r>
      <w:r>
        <w:rPr>
          <w:color w:val="000000" w:themeColor="text1"/>
          <w:u w:color="000000" w:themeColor="text1"/>
        </w:rPr>
        <w:noBreakHyphen/>
        <w:t>94.</w:t>
      </w:r>
      <w:r>
        <w:rPr>
          <w:color w:val="000000" w:themeColor="text1"/>
          <w:u w:color="000000" w:themeColor="text1"/>
        </w:rPr>
        <w:tab/>
        <w:t>(A)</w:t>
      </w:r>
      <w:r>
        <w:rPr>
          <w:color w:val="000000" w:themeColor="text1"/>
          <w:u w:color="000000" w:themeColor="text1"/>
        </w:rPr>
        <w:tab/>
      </w:r>
      <w:r w:rsidRPr="00090CA2">
        <w:rPr>
          <w:color w:val="000000" w:themeColor="text1"/>
          <w:u w:color="000000" w:themeColor="text1"/>
        </w:rPr>
        <w:t>A school district that employs or otherwise retains the services of a lobbyist shall:</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1155B">
        <w:rPr>
          <w:color w:val="000000" w:themeColor="text1"/>
          <w:u w:color="000000" w:themeColor="text1"/>
        </w:rPr>
        <w:t>mail notice to</w:t>
      </w:r>
      <w:r w:rsidRPr="00090CA2">
        <w:rPr>
          <w:color w:val="000000" w:themeColor="text1"/>
          <w:u w:color="000000" w:themeColor="text1"/>
        </w:rPr>
        <w:t xml:space="preserve"> all parents of students enrolled in the district that the district has so employed or retained the lobbyist, the specific purpose for which the lobbyist was employed or otherwise retained, and the terms of compensation of the lobbyist by the district; and</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1155B">
        <w:rPr>
          <w:color w:val="000000" w:themeColor="text1"/>
          <w:u w:color="000000" w:themeColor="text1"/>
        </w:rPr>
        <w:t>mail copies of the d</w:t>
      </w:r>
      <w:r w:rsidRPr="00090CA2">
        <w:rPr>
          <w:color w:val="000000" w:themeColor="text1"/>
          <w:u w:color="000000" w:themeColor="text1"/>
        </w:rPr>
        <w:t>istrict</w:t>
      </w:r>
      <w:r w:rsidRPr="003171CC">
        <w:rPr>
          <w:color w:val="000000" w:themeColor="text1"/>
          <w:u w:color="000000" w:themeColor="text1"/>
        </w:rPr>
        <w:t>’</w:t>
      </w:r>
      <w:r w:rsidRPr="00090CA2">
        <w:rPr>
          <w:color w:val="000000" w:themeColor="text1"/>
          <w:u w:color="000000" w:themeColor="text1"/>
        </w:rPr>
        <w:t>s lobbyist</w:t>
      </w:r>
      <w:r w:rsidRPr="003171CC">
        <w:rPr>
          <w:color w:val="000000" w:themeColor="text1"/>
          <w:u w:color="000000" w:themeColor="text1"/>
        </w:rPr>
        <w:t>’</w:t>
      </w:r>
      <w:r w:rsidRPr="00090CA2">
        <w:rPr>
          <w:color w:val="000000" w:themeColor="text1"/>
          <w:u w:color="000000" w:themeColor="text1"/>
        </w:rPr>
        <w:t>s principal report of lobbying expenditures required under Section 2</w:t>
      </w:r>
      <w:r>
        <w:rPr>
          <w:color w:val="000000" w:themeColor="text1"/>
          <w:u w:color="000000" w:themeColor="text1"/>
        </w:rPr>
        <w:noBreakHyphen/>
      </w:r>
      <w:r w:rsidRPr="00090CA2">
        <w:rPr>
          <w:color w:val="000000" w:themeColor="text1"/>
          <w:u w:color="000000" w:themeColor="text1"/>
        </w:rPr>
        <w:t>17</w:t>
      </w:r>
      <w:r>
        <w:rPr>
          <w:color w:val="000000" w:themeColor="text1"/>
          <w:u w:color="000000" w:themeColor="text1"/>
        </w:rPr>
        <w:noBreakHyphen/>
      </w:r>
      <w:r w:rsidRPr="00090CA2">
        <w:rPr>
          <w:color w:val="000000" w:themeColor="text1"/>
          <w:u w:color="000000" w:themeColor="text1"/>
        </w:rPr>
        <w:t xml:space="preserve">35 </w:t>
      </w:r>
      <w:r w:rsidR="00D1155B">
        <w:rPr>
          <w:color w:val="000000" w:themeColor="text1"/>
          <w:u w:color="000000" w:themeColor="text1"/>
        </w:rPr>
        <w:t>to</w:t>
      </w:r>
      <w:r w:rsidR="00D1155B" w:rsidRPr="00090CA2">
        <w:rPr>
          <w:color w:val="000000" w:themeColor="text1"/>
          <w:u w:color="000000" w:themeColor="text1"/>
        </w:rPr>
        <w:t xml:space="preserve"> all parents of students enrolled in the district </w:t>
      </w:r>
      <w:r w:rsidRPr="00090CA2">
        <w:rPr>
          <w:color w:val="000000" w:themeColor="text1"/>
          <w:u w:color="000000" w:themeColor="text1"/>
        </w:rPr>
        <w:t xml:space="preserve">within ten calendar days after the end of the applicable filing period. The district also shall post a copy of this report on its website for public access within ten days after the end </w:t>
      </w:r>
      <w:r>
        <w:rPr>
          <w:color w:val="000000" w:themeColor="text1"/>
          <w:u w:color="000000" w:themeColor="text1"/>
        </w:rPr>
        <w:t>of the applicable filing period</w:t>
      </w:r>
      <w:r w:rsidRPr="00090CA2">
        <w:rPr>
          <w:color w:val="000000" w:themeColor="text1"/>
          <w:u w:color="000000" w:themeColor="text1"/>
        </w:rPr>
        <w:t xml:space="preserve"> and shall leave it posted there for a period of ten years after the end of the applicable filing period.</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CA2">
        <w:rPr>
          <w:color w:val="000000" w:themeColor="text1"/>
          <w:u w:color="000000" w:themeColor="text1"/>
        </w:rPr>
        <w:t>(B)</w:t>
      </w:r>
      <w:r>
        <w:rPr>
          <w:color w:val="000000" w:themeColor="text1"/>
          <w:u w:color="000000" w:themeColor="text1"/>
        </w:rPr>
        <w:tab/>
      </w:r>
      <w:r w:rsidRPr="00090CA2">
        <w:rPr>
          <w:color w:val="000000" w:themeColor="text1"/>
          <w:u w:color="000000" w:themeColor="text1"/>
        </w:rPr>
        <w:t xml:space="preserve">For purposes of this section, </w:t>
      </w:r>
      <w:r w:rsidRPr="003171CC">
        <w:rPr>
          <w:color w:val="000000" w:themeColor="text1"/>
          <w:u w:color="000000" w:themeColor="text1"/>
        </w:rPr>
        <w:t>‘</w:t>
      </w:r>
      <w:r w:rsidRPr="00090CA2">
        <w:rPr>
          <w:color w:val="000000" w:themeColor="text1"/>
          <w:u w:color="000000" w:themeColor="text1"/>
        </w:rPr>
        <w:t>lobbyist</w:t>
      </w:r>
      <w:r w:rsidRPr="003171CC">
        <w:rPr>
          <w:color w:val="000000" w:themeColor="text1"/>
          <w:u w:color="000000" w:themeColor="text1"/>
        </w:rPr>
        <w:t>’</w:t>
      </w:r>
      <w:r w:rsidRPr="00090CA2">
        <w:rPr>
          <w:color w:val="000000" w:themeColor="text1"/>
          <w:u w:color="000000" w:themeColor="text1"/>
        </w:rPr>
        <w:t xml:space="preserve"> and </w:t>
      </w:r>
      <w:r w:rsidRPr="003171CC">
        <w:rPr>
          <w:color w:val="000000" w:themeColor="text1"/>
          <w:u w:color="000000" w:themeColor="text1"/>
        </w:rPr>
        <w:t>‘</w:t>
      </w:r>
      <w:r w:rsidRPr="00090CA2">
        <w:rPr>
          <w:color w:val="000000" w:themeColor="text1"/>
          <w:u w:color="000000" w:themeColor="text1"/>
        </w:rPr>
        <w:t>lobbyist principal</w:t>
      </w:r>
      <w:r w:rsidRPr="003171CC">
        <w:rPr>
          <w:color w:val="000000" w:themeColor="text1"/>
          <w:u w:color="000000" w:themeColor="text1"/>
        </w:rPr>
        <w:t>’</w:t>
      </w:r>
      <w:r w:rsidRPr="00090CA2">
        <w:rPr>
          <w:color w:val="000000" w:themeColor="text1"/>
          <w:u w:color="000000" w:themeColor="text1"/>
        </w:rPr>
        <w:t xml:space="preserve"> have the same meanings as found in Section 2</w:t>
      </w:r>
      <w:r>
        <w:rPr>
          <w:color w:val="000000" w:themeColor="text1"/>
          <w:u w:color="000000" w:themeColor="text1"/>
        </w:rPr>
        <w:noBreakHyphen/>
      </w:r>
      <w:r w:rsidRPr="00090CA2">
        <w:rPr>
          <w:color w:val="000000" w:themeColor="text1"/>
          <w:u w:color="000000" w:themeColor="text1"/>
        </w:rPr>
        <w:t>17</w:t>
      </w:r>
      <w:r>
        <w:rPr>
          <w:color w:val="000000" w:themeColor="text1"/>
          <w:u w:color="000000" w:themeColor="text1"/>
        </w:rPr>
        <w:noBreakHyphen/>
      </w:r>
      <w:r w:rsidRPr="00090CA2">
        <w:rPr>
          <w:color w:val="000000" w:themeColor="text1"/>
          <w:u w:color="000000" w:themeColor="text1"/>
        </w:rPr>
        <w:t>10.</w:t>
      </w:r>
      <w:r>
        <w:rPr>
          <w:color w:val="000000" w:themeColor="text1"/>
          <w:u w:color="000000" w:themeColor="text1"/>
        </w:rPr>
        <w:t>”</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D6A"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090CA2">
        <w:rPr>
          <w:color w:val="000000" w:themeColor="text1"/>
          <w:u w:color="000000" w:themeColor="text1"/>
        </w:rPr>
        <w:t>2.</w:t>
      </w:r>
      <w:r>
        <w:rPr>
          <w:color w:val="000000" w:themeColor="text1"/>
          <w:u w:color="000000" w:themeColor="text1"/>
        </w:rPr>
        <w:tab/>
      </w:r>
      <w:r w:rsidRPr="00090CA2">
        <w:rPr>
          <w:color w:val="000000" w:themeColor="text1"/>
          <w:u w:color="000000" w:themeColor="text1"/>
        </w:rPr>
        <w:t>This a</w:t>
      </w:r>
      <w:r>
        <w:rPr>
          <w:color w:val="000000" w:themeColor="text1"/>
          <w:u w:color="000000" w:themeColor="text1"/>
        </w:rPr>
        <w:t>ct takes effect upon approval by</w:t>
      </w:r>
      <w:r w:rsidRPr="00090CA2">
        <w:rPr>
          <w:color w:val="000000" w:themeColor="text1"/>
          <w:u w:color="000000" w:themeColor="text1"/>
        </w:rPr>
        <w:t xml:space="preserve"> the Governor.</w:t>
      </w:r>
    </w:p>
    <w:p w:rsidR="00D32497" w:rsidRDefault="003171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800" w:rsidRDefault="00720800" w:rsidP="00720800">
      <w:pPr>
        <w:suppressAutoHyphens/>
      </w:pPr>
    </w:p>
    <w:sectPr w:rsidR="00720800" w:rsidSect="007208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D6A" w:rsidRDefault="00533D6A" w:rsidP="009F0C77">
      <w:r>
        <w:separator/>
      </w:r>
    </w:p>
  </w:endnote>
  <w:endnote w:type="continuationSeparator" w:id="0">
    <w:p w:rsidR="00533D6A" w:rsidRDefault="00533D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2EC623-6966-4037-B8AB-85E83EB08EEA}"/>
    <w:embedBold r:id="rId2" w:fontKey="{3B64E4F7-48CF-45EC-B666-0488AC533763}"/>
  </w:font>
  <w:font w:name="Calibri">
    <w:panose1 w:val="020F0502020204030204"/>
    <w:charset w:val="00"/>
    <w:family w:val="swiss"/>
    <w:pitch w:val="variable"/>
    <w:sig w:usb0="E0002EFF" w:usb1="C000247B" w:usb2="00000009" w:usb3="00000000" w:csb0="000001FF" w:csb1="00000000"/>
    <w:embedRegular r:id="rId3" w:fontKey="{F0814FC6-90AB-44E3-80FB-13E3BB66B395}"/>
  </w:font>
  <w:font w:name="Cambria">
    <w:panose1 w:val="02040503050406030204"/>
    <w:charset w:val="00"/>
    <w:family w:val="roman"/>
    <w:pitch w:val="variable"/>
    <w:sig w:usb0="E00006FF" w:usb1="420024FF" w:usb2="02000000" w:usb3="00000000" w:csb0="0000019F" w:csb1="00000000"/>
    <w:embedRegular r:id="rId4" w:fontKey="{A76DF971-1801-4D88-9A3F-01909ABB23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800" w:rsidRPr="002F0E52" w:rsidRDefault="00720800" w:rsidP="002F0E52">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5E09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D6A" w:rsidRDefault="00533D6A" w:rsidP="009F0C77">
      <w:r>
        <w:separator/>
      </w:r>
    </w:p>
  </w:footnote>
  <w:footnote w:type="continuationSeparator" w:id="0">
    <w:p w:rsidR="00533D6A" w:rsidRDefault="00533D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3WAB21"/>
    <w:docVar w:name="CoverBillType" w:val="b"/>
    <w:docVar w:name="DocPath" w:val="L:\Council\bills\RT\17983WAB21.DOCX"/>
    <w:docVar w:name="dvBillNumber" w:val="3967"/>
    <w:docVar w:name="dvBillNumberPrefix" w:val="H. "/>
    <w:docVar w:name="dvOriginalBody" w:val="House"/>
    <w:docVar w:name="dvSteno" w:val="RT"/>
    <w:docVar w:name="NameofBody" w:val="h"/>
    <w:docVar w:name="vGroup2" w:val="Council"/>
  </w:docVars>
  <w:rsids>
    <w:rsidRoot w:val="00533D6A"/>
    <w:rsid w:val="00011869"/>
    <w:rsid w:val="00015CD6"/>
    <w:rsid w:val="000C0604"/>
    <w:rsid w:val="000E0100"/>
    <w:rsid w:val="000E1785"/>
    <w:rsid w:val="000F40FA"/>
    <w:rsid w:val="001035F1"/>
    <w:rsid w:val="0010776B"/>
    <w:rsid w:val="00133E66"/>
    <w:rsid w:val="001435A3"/>
    <w:rsid w:val="00146ED3"/>
    <w:rsid w:val="00151044"/>
    <w:rsid w:val="0019789F"/>
    <w:rsid w:val="001D08F2"/>
    <w:rsid w:val="001D3A58"/>
    <w:rsid w:val="001D525B"/>
    <w:rsid w:val="001D7F4F"/>
    <w:rsid w:val="00205238"/>
    <w:rsid w:val="002321B6"/>
    <w:rsid w:val="00232912"/>
    <w:rsid w:val="00250967"/>
    <w:rsid w:val="002543C8"/>
    <w:rsid w:val="0025541D"/>
    <w:rsid w:val="00284AAE"/>
    <w:rsid w:val="002E5912"/>
    <w:rsid w:val="002F0E52"/>
    <w:rsid w:val="00301B21"/>
    <w:rsid w:val="003171C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D6A"/>
    <w:rsid w:val="00545593"/>
    <w:rsid w:val="00556EBF"/>
    <w:rsid w:val="00577C6C"/>
    <w:rsid w:val="005A62FE"/>
    <w:rsid w:val="005C2FE2"/>
    <w:rsid w:val="005E09F4"/>
    <w:rsid w:val="005E2BC9"/>
    <w:rsid w:val="00605102"/>
    <w:rsid w:val="006215AA"/>
    <w:rsid w:val="006776F2"/>
    <w:rsid w:val="006913C9"/>
    <w:rsid w:val="0069470D"/>
    <w:rsid w:val="006D58AA"/>
    <w:rsid w:val="00720800"/>
    <w:rsid w:val="00734F00"/>
    <w:rsid w:val="00736959"/>
    <w:rsid w:val="007A70AE"/>
    <w:rsid w:val="008362E8"/>
    <w:rsid w:val="0085786E"/>
    <w:rsid w:val="008A1768"/>
    <w:rsid w:val="008A489F"/>
    <w:rsid w:val="008C190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55B"/>
    <w:rsid w:val="00D32497"/>
    <w:rsid w:val="00D73A67"/>
    <w:rsid w:val="00D970A9"/>
    <w:rsid w:val="00DE34B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3E104-073C-44AA-922A-BC1B81DB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0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67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D37C5-A396-4EDB-BAE8-88E628C8C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2233</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3967: Subject not yet available - South Carolina Legislature Online</dc:title>
  <dc:creator>Rebecca Turner</dc:creator>
  <cp:lastModifiedBy>S Wilson</cp:lastModifiedBy>
  <cp:revision>2</cp:revision>
  <cp:lastPrinted>2021-02-18T19:29:00Z</cp:lastPrinted>
  <dcterms:created xsi:type="dcterms:W3CDTF">2021-03-03T16:53:00Z</dcterms:created>
  <dcterms:modified xsi:type="dcterms:W3CDTF">2021-03-03T16:53:00Z</dcterms:modified>
</cp:coreProperties>
</file>