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31314" w14:textId="095AF8EB" w:rsidR="00DE771A" w:rsidRDefault="00DE771A" w:rsidP="00DE771A">
      <w:pPr>
        <w:widowControl w:val="0"/>
        <w:jc w:val="center"/>
      </w:pPr>
      <w:r w:rsidRPr="00DE771A">
        <w:rPr>
          <w:b/>
        </w:rPr>
        <w:t>South Carolina General Assembly</w:t>
      </w:r>
    </w:p>
    <w:p w14:paraId="020BFA3C" w14:textId="22A26CD5" w:rsidR="00DE771A" w:rsidRDefault="00DE771A" w:rsidP="00DE771A">
      <w:pPr>
        <w:widowControl w:val="0"/>
        <w:jc w:val="center"/>
      </w:pPr>
      <w:r>
        <w:t>124th Session, 2021-2022</w:t>
      </w:r>
    </w:p>
    <w:p w14:paraId="4C35E186" w14:textId="4A19A9B8" w:rsidR="00DE771A" w:rsidRDefault="00DE771A" w:rsidP="00DE771A">
      <w:pPr>
        <w:widowControl w:val="0"/>
      </w:pPr>
    </w:p>
    <w:p w14:paraId="5590E217" w14:textId="51D7D4AD" w:rsidR="00DE771A" w:rsidRDefault="00DE771A" w:rsidP="00DE771A">
      <w:pPr>
        <w:widowControl w:val="0"/>
        <w:rPr>
          <w:b/>
        </w:rPr>
      </w:pPr>
      <w:r w:rsidRPr="00DE771A">
        <w:rPr>
          <w:b/>
        </w:rPr>
        <w:t>S.</w:t>
      </w:r>
      <w:r>
        <w:rPr>
          <w:b/>
        </w:rPr>
        <w:t xml:space="preserve"> </w:t>
      </w:r>
      <w:r w:rsidRPr="00DE771A">
        <w:rPr>
          <w:b/>
        </w:rPr>
        <w:t>429</w:t>
      </w:r>
    </w:p>
    <w:p w14:paraId="6006D3E7" w14:textId="00FC23B5" w:rsidR="00DE771A" w:rsidRDefault="00DE771A" w:rsidP="00DE771A">
      <w:pPr>
        <w:widowControl w:val="0"/>
        <w:rPr>
          <w:b/>
        </w:rPr>
      </w:pPr>
    </w:p>
    <w:p w14:paraId="63F2819C" w14:textId="1EB41E3D" w:rsidR="00DE771A" w:rsidRDefault="00DE771A" w:rsidP="00DE771A">
      <w:pPr>
        <w:widowControl w:val="0"/>
      </w:pPr>
      <w:r w:rsidRPr="00DE771A">
        <w:rPr>
          <w:b/>
        </w:rPr>
        <w:t>STATUS INFORMATION</w:t>
      </w:r>
    </w:p>
    <w:p w14:paraId="7EF8CBA5" w14:textId="29A96FB4" w:rsidR="00DE771A" w:rsidRDefault="00DE771A" w:rsidP="00DE771A">
      <w:pPr>
        <w:widowControl w:val="0"/>
      </w:pPr>
    </w:p>
    <w:p w14:paraId="642F227B" w14:textId="715771AA" w:rsidR="00DE771A" w:rsidRDefault="00DE771A" w:rsidP="00DE771A">
      <w:pPr>
        <w:widowControl w:val="0"/>
      </w:pPr>
      <w:r>
        <w:t>General Bill</w:t>
      </w:r>
    </w:p>
    <w:p w14:paraId="42B068B0" w14:textId="172CF4F4" w:rsidR="00DE771A" w:rsidRDefault="00916747" w:rsidP="00DE771A">
      <w:pPr>
        <w:widowControl w:val="0"/>
      </w:pPr>
      <w:r>
        <w:t>Sponsors: Senators Alexander, Senn, Loftis, Climer and Young</w:t>
      </w:r>
    </w:p>
    <w:p w14:paraId="0FF7E6BE" w14:textId="36B55503" w:rsidR="00DE771A" w:rsidRDefault="00DE771A" w:rsidP="00DE771A">
      <w:pPr>
        <w:widowControl w:val="0"/>
      </w:pPr>
      <w:r>
        <w:t>Document Path: l:\s-res\tca\005drug.kmm.tca.docx</w:t>
      </w:r>
    </w:p>
    <w:p w14:paraId="73917F85" w14:textId="77777777" w:rsidR="00D54F61" w:rsidRDefault="00D54F61" w:rsidP="00DE771A">
      <w:pPr>
        <w:widowControl w:val="0"/>
      </w:pPr>
      <w:r>
        <w:t>Companion/Similar bill(s): 197</w:t>
      </w:r>
    </w:p>
    <w:p w14:paraId="658B131A" w14:textId="7CC02D29" w:rsidR="00DE771A" w:rsidRDefault="00DE771A" w:rsidP="00DE771A">
      <w:pPr>
        <w:widowControl w:val="0"/>
      </w:pPr>
    </w:p>
    <w:p w14:paraId="7718C5CD" w14:textId="77777777" w:rsidR="00EA7354" w:rsidRDefault="00EA7354" w:rsidP="00DE771A">
      <w:pPr>
        <w:widowControl w:val="0"/>
      </w:pPr>
      <w:r>
        <w:t>Introduced in the Senate on January 12, 2021</w:t>
      </w:r>
    </w:p>
    <w:p w14:paraId="3B2E66C6" w14:textId="77777777" w:rsidR="00EA7354" w:rsidRDefault="00EA7354" w:rsidP="00DE771A">
      <w:pPr>
        <w:widowControl w:val="0"/>
      </w:pPr>
      <w:r>
        <w:t>Introduced in the House on March 2, 2022</w:t>
      </w:r>
    </w:p>
    <w:p w14:paraId="189306B8" w14:textId="77777777" w:rsidR="00EA7354" w:rsidRDefault="00EA7354" w:rsidP="00DE771A">
      <w:pPr>
        <w:widowControl w:val="0"/>
      </w:pPr>
      <w:r>
        <w:t>Last Amended on March 1, 2022</w:t>
      </w:r>
    </w:p>
    <w:p w14:paraId="4782D6DA" w14:textId="77777777" w:rsidR="00EA7354" w:rsidRPr="00EA7354" w:rsidRDefault="00EA7354" w:rsidP="00DE771A">
      <w:pPr>
        <w:widowControl w:val="0"/>
      </w:pPr>
      <w:r>
        <w:t xml:space="preserve">Currently residing in the House Committee on </w:t>
      </w:r>
      <w:r w:rsidRPr="00EA7354">
        <w:rPr>
          <w:b/>
        </w:rPr>
        <w:t>Judiciary</w:t>
      </w:r>
    </w:p>
    <w:p w14:paraId="2588F0DF" w14:textId="77777777" w:rsidR="00EA7354" w:rsidRDefault="00EA7354" w:rsidP="00DE771A">
      <w:pPr>
        <w:widowControl w:val="0"/>
      </w:pPr>
    </w:p>
    <w:p w14:paraId="62539E22" w14:textId="01794CEE" w:rsidR="00DE771A" w:rsidRDefault="006839B8" w:rsidP="00DE771A">
      <w:pPr>
        <w:widowControl w:val="0"/>
      </w:pPr>
      <w:r>
        <w:t>Summary: Homicide, drug-induced</w:t>
      </w:r>
    </w:p>
    <w:p w14:paraId="327AA115" w14:textId="2582677D" w:rsidR="00DE771A" w:rsidRDefault="00DE771A" w:rsidP="00DE771A">
      <w:pPr>
        <w:widowControl w:val="0"/>
      </w:pPr>
    </w:p>
    <w:p w14:paraId="16C8FD7B" w14:textId="37B10DB5" w:rsidR="00DE771A" w:rsidRDefault="00DE771A" w:rsidP="00DE771A">
      <w:pPr>
        <w:widowControl w:val="0"/>
      </w:pPr>
    </w:p>
    <w:p w14:paraId="1E67B12C" w14:textId="0CE848C9" w:rsidR="00DE771A" w:rsidRDefault="00DE771A" w:rsidP="00DE771A">
      <w:pPr>
        <w:widowControl w:val="0"/>
        <w:tabs>
          <w:tab w:val="center" w:pos="590"/>
          <w:tab w:val="center" w:pos="1440"/>
          <w:tab w:val="left" w:pos="1872"/>
          <w:tab w:val="left" w:pos="9187"/>
        </w:tabs>
      </w:pPr>
      <w:r w:rsidRPr="00DE771A">
        <w:rPr>
          <w:b/>
        </w:rPr>
        <w:t>HISTORY OF LEGISLATIVE ACTIONS</w:t>
      </w:r>
    </w:p>
    <w:p w14:paraId="463CF480" w14:textId="2B7CB628" w:rsidR="00DE771A" w:rsidRDefault="00DE771A" w:rsidP="00DE771A">
      <w:pPr>
        <w:widowControl w:val="0"/>
        <w:tabs>
          <w:tab w:val="center" w:pos="590"/>
          <w:tab w:val="center" w:pos="1440"/>
          <w:tab w:val="left" w:pos="1872"/>
          <w:tab w:val="left" w:pos="9187"/>
        </w:tabs>
      </w:pPr>
    </w:p>
    <w:p w14:paraId="6A64E655" w14:textId="3BE547DC" w:rsidR="00DE771A" w:rsidRPr="00DE771A" w:rsidRDefault="00DE771A" w:rsidP="00DE771A">
      <w:pPr>
        <w:widowControl w:val="0"/>
        <w:tabs>
          <w:tab w:val="center" w:pos="590"/>
          <w:tab w:val="center" w:pos="1440"/>
          <w:tab w:val="left" w:pos="1872"/>
          <w:tab w:val="left" w:pos="9187"/>
        </w:tabs>
      </w:pPr>
      <w:r w:rsidRPr="00DE771A">
        <w:rPr>
          <w:u w:val="single"/>
        </w:rPr>
        <w:tab/>
        <w:t>Date</w:t>
      </w:r>
      <w:r w:rsidRPr="00DE771A">
        <w:rPr>
          <w:u w:val="single"/>
        </w:rPr>
        <w:tab/>
        <w:t>Body</w:t>
      </w:r>
      <w:r w:rsidRPr="00DE771A">
        <w:rPr>
          <w:u w:val="single"/>
        </w:rPr>
        <w:tab/>
        <w:t>Action Description with journal page number</w:t>
      </w:r>
      <w:r w:rsidRPr="00DE771A">
        <w:rPr>
          <w:u w:val="single"/>
        </w:rPr>
        <w:tab/>
      </w:r>
    </w:p>
    <w:p w14:paraId="08254E5A" w14:textId="77777777" w:rsidR="00B401DC" w:rsidRDefault="00B401DC" w:rsidP="00B401DC">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F52A22">
          <w:rPr>
            <w:rStyle w:val="Hyperlink"/>
          </w:rPr>
          <w:t>Senate Journal</w:t>
        </w:r>
        <w:r w:rsidRPr="00F52A22">
          <w:rPr>
            <w:rStyle w:val="Hyperlink"/>
          </w:rPr>
          <w:noBreakHyphen/>
          <w:t>page 309</w:t>
        </w:r>
      </w:hyperlink>
      <w:r>
        <w:t>)</w:t>
      </w:r>
    </w:p>
    <w:p w14:paraId="1A3B8619" w14:textId="77777777" w:rsidR="00B401DC" w:rsidRDefault="00B401DC" w:rsidP="00B401D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52A22">
        <w:rPr>
          <w:b/>
        </w:rPr>
        <w:t>Judiciary</w:t>
      </w:r>
      <w:r>
        <w:t xml:space="preserve"> (</w:t>
      </w:r>
      <w:hyperlink r:id="rId7" w:history="1">
        <w:r w:rsidRPr="00F52A22">
          <w:rPr>
            <w:rStyle w:val="Hyperlink"/>
          </w:rPr>
          <w:t>Senate Journal</w:t>
        </w:r>
        <w:r w:rsidRPr="00F52A22">
          <w:rPr>
            <w:rStyle w:val="Hyperlink"/>
          </w:rPr>
          <w:noBreakHyphen/>
          <w:t>page 309</w:t>
        </w:r>
      </w:hyperlink>
      <w:r>
        <w:t>)</w:t>
      </w:r>
    </w:p>
    <w:p w14:paraId="789437C8" w14:textId="77777777" w:rsidR="00B401DC" w:rsidRDefault="00B401DC" w:rsidP="00B401DC">
      <w:pPr>
        <w:widowControl w:val="0"/>
        <w:tabs>
          <w:tab w:val="right" w:pos="1008"/>
          <w:tab w:val="left" w:pos="1152"/>
          <w:tab w:val="left" w:pos="1872"/>
          <w:tab w:val="left" w:pos="9187"/>
        </w:tabs>
        <w:ind w:left="2088" w:hanging="2088"/>
      </w:pPr>
      <w:r>
        <w:tab/>
        <w:t>2/11/2022</w:t>
      </w:r>
      <w:r>
        <w:tab/>
        <w:t>Senate</w:t>
      </w:r>
      <w:r>
        <w:tab/>
        <w:t>Referred to Subcommittee:  Hutto (ch), McLeod, Rice, Senn, Adams</w:t>
      </w:r>
    </w:p>
    <w:p w14:paraId="692CF787" w14:textId="77777777" w:rsidR="00B401DC" w:rsidRDefault="00B401DC" w:rsidP="00B401DC">
      <w:pPr>
        <w:widowControl w:val="0"/>
        <w:tabs>
          <w:tab w:val="right" w:pos="1008"/>
          <w:tab w:val="left" w:pos="1152"/>
          <w:tab w:val="left" w:pos="1872"/>
          <w:tab w:val="left" w:pos="9187"/>
        </w:tabs>
        <w:ind w:left="2088" w:hanging="2088"/>
      </w:pPr>
      <w:r>
        <w:tab/>
        <w:t>2/23/2022</w:t>
      </w:r>
      <w:r>
        <w:tab/>
        <w:t>Senate</w:t>
      </w:r>
      <w:r>
        <w:tab/>
        <w:t xml:space="preserve">Committee report: Favorable with amendment </w:t>
      </w:r>
      <w:r w:rsidRPr="00F52A22">
        <w:rPr>
          <w:b/>
        </w:rPr>
        <w:t>Judiciary</w:t>
      </w:r>
      <w:r>
        <w:t xml:space="preserve"> (</w:t>
      </w:r>
      <w:hyperlink r:id="rId8" w:history="1">
        <w:r w:rsidRPr="00F52A22">
          <w:rPr>
            <w:rStyle w:val="Hyperlink"/>
          </w:rPr>
          <w:t>Senate Journal</w:t>
        </w:r>
        <w:r w:rsidRPr="00F52A22">
          <w:rPr>
            <w:rStyle w:val="Hyperlink"/>
          </w:rPr>
          <w:noBreakHyphen/>
          <w:t>page 7</w:t>
        </w:r>
      </w:hyperlink>
      <w:r>
        <w:t>)</w:t>
      </w:r>
    </w:p>
    <w:p w14:paraId="7D20EA41" w14:textId="77777777" w:rsidR="00B401DC" w:rsidRDefault="00B401DC" w:rsidP="00B401DC">
      <w:pPr>
        <w:widowControl w:val="0"/>
        <w:tabs>
          <w:tab w:val="right" w:pos="1008"/>
          <w:tab w:val="left" w:pos="1152"/>
          <w:tab w:val="left" w:pos="1872"/>
          <w:tab w:val="left" w:pos="9187"/>
        </w:tabs>
        <w:ind w:left="2088" w:hanging="2088"/>
      </w:pPr>
      <w:r>
        <w:tab/>
        <w:t>3/1/2022</w:t>
      </w:r>
      <w:r>
        <w:tab/>
        <w:t>Senate</w:t>
      </w:r>
      <w:r>
        <w:tab/>
        <w:t>Committee Amendment Adopted (</w:t>
      </w:r>
      <w:hyperlink r:id="rId9" w:history="1">
        <w:r w:rsidRPr="00F52A22">
          <w:rPr>
            <w:rStyle w:val="Hyperlink"/>
          </w:rPr>
          <w:t>Senate Journal</w:t>
        </w:r>
        <w:r w:rsidRPr="00F52A22">
          <w:rPr>
            <w:rStyle w:val="Hyperlink"/>
          </w:rPr>
          <w:noBreakHyphen/>
          <w:t>page 21</w:t>
        </w:r>
      </w:hyperlink>
      <w:r>
        <w:t>)</w:t>
      </w:r>
    </w:p>
    <w:p w14:paraId="72C7B53F" w14:textId="77777777" w:rsidR="00B401DC" w:rsidRDefault="00B401DC" w:rsidP="00B401DC">
      <w:pPr>
        <w:widowControl w:val="0"/>
        <w:tabs>
          <w:tab w:val="right" w:pos="1008"/>
          <w:tab w:val="left" w:pos="1152"/>
          <w:tab w:val="left" w:pos="1872"/>
          <w:tab w:val="left" w:pos="9187"/>
        </w:tabs>
        <w:ind w:left="2088" w:hanging="2088"/>
      </w:pPr>
      <w:r>
        <w:tab/>
        <w:t>3/1/2022</w:t>
      </w:r>
      <w:r>
        <w:tab/>
        <w:t>Senate</w:t>
      </w:r>
      <w:r>
        <w:tab/>
        <w:t>Amended (</w:t>
      </w:r>
      <w:hyperlink r:id="rId10" w:history="1">
        <w:r w:rsidRPr="00F52A22">
          <w:rPr>
            <w:rStyle w:val="Hyperlink"/>
          </w:rPr>
          <w:t>Senate Journal</w:t>
        </w:r>
        <w:r w:rsidRPr="00F52A22">
          <w:rPr>
            <w:rStyle w:val="Hyperlink"/>
          </w:rPr>
          <w:noBreakHyphen/>
          <w:t>page 21</w:t>
        </w:r>
      </w:hyperlink>
      <w:r>
        <w:t>)</w:t>
      </w:r>
    </w:p>
    <w:p w14:paraId="728138FB" w14:textId="77777777" w:rsidR="00B401DC" w:rsidRDefault="00B401DC" w:rsidP="00B401DC">
      <w:pPr>
        <w:widowControl w:val="0"/>
        <w:tabs>
          <w:tab w:val="right" w:pos="1008"/>
          <w:tab w:val="left" w:pos="1152"/>
          <w:tab w:val="left" w:pos="1872"/>
          <w:tab w:val="left" w:pos="9187"/>
        </w:tabs>
        <w:ind w:left="2088" w:hanging="2088"/>
      </w:pPr>
      <w:r>
        <w:tab/>
        <w:t>3/1/2022</w:t>
      </w:r>
      <w:r>
        <w:tab/>
        <w:t>Senate</w:t>
      </w:r>
      <w:r>
        <w:tab/>
        <w:t>Read second time (</w:t>
      </w:r>
      <w:hyperlink r:id="rId11" w:history="1">
        <w:r w:rsidRPr="00F52A22">
          <w:rPr>
            <w:rStyle w:val="Hyperlink"/>
          </w:rPr>
          <w:t>Senate Journal</w:t>
        </w:r>
        <w:r w:rsidRPr="00F52A22">
          <w:rPr>
            <w:rStyle w:val="Hyperlink"/>
          </w:rPr>
          <w:noBreakHyphen/>
          <w:t>page 21</w:t>
        </w:r>
      </w:hyperlink>
      <w:r>
        <w:t>)</w:t>
      </w:r>
    </w:p>
    <w:p w14:paraId="6273E234" w14:textId="77777777" w:rsidR="00B401DC" w:rsidRDefault="00B401DC" w:rsidP="00B401DC">
      <w:pPr>
        <w:widowControl w:val="0"/>
        <w:tabs>
          <w:tab w:val="right" w:pos="1008"/>
          <w:tab w:val="left" w:pos="1152"/>
          <w:tab w:val="left" w:pos="1872"/>
          <w:tab w:val="left" w:pos="9187"/>
        </w:tabs>
        <w:ind w:left="2088" w:hanging="2088"/>
      </w:pPr>
      <w:r>
        <w:tab/>
        <w:t>3/1/2022</w:t>
      </w:r>
      <w:r>
        <w:tab/>
        <w:t>Senate</w:t>
      </w:r>
      <w:r>
        <w:tab/>
        <w:t>Roll call Ayes</w:t>
      </w:r>
      <w:r>
        <w:noBreakHyphen/>
        <w:t>42  Nays</w:t>
      </w:r>
      <w:r>
        <w:noBreakHyphen/>
        <w:t>0 (</w:t>
      </w:r>
      <w:hyperlink r:id="rId12" w:history="1">
        <w:r w:rsidRPr="00F52A22">
          <w:rPr>
            <w:rStyle w:val="Hyperlink"/>
          </w:rPr>
          <w:t>Senate Journal</w:t>
        </w:r>
        <w:r w:rsidRPr="00F52A22">
          <w:rPr>
            <w:rStyle w:val="Hyperlink"/>
          </w:rPr>
          <w:noBreakHyphen/>
          <w:t>page 21</w:t>
        </w:r>
      </w:hyperlink>
      <w:r>
        <w:t>)</w:t>
      </w:r>
    </w:p>
    <w:p w14:paraId="12B9C9D2" w14:textId="77777777" w:rsidR="00B401DC" w:rsidRDefault="00B401DC" w:rsidP="00B401DC">
      <w:pPr>
        <w:widowControl w:val="0"/>
        <w:tabs>
          <w:tab w:val="right" w:pos="1008"/>
          <w:tab w:val="left" w:pos="1152"/>
          <w:tab w:val="left" w:pos="1872"/>
          <w:tab w:val="left" w:pos="9187"/>
        </w:tabs>
        <w:ind w:left="2088" w:hanging="2088"/>
      </w:pPr>
      <w:r>
        <w:tab/>
        <w:t>3/2/2022</w:t>
      </w:r>
      <w:r>
        <w:tab/>
        <w:t>Senate</w:t>
      </w:r>
      <w:r>
        <w:tab/>
        <w:t>Read third time and sent to House (</w:t>
      </w:r>
      <w:hyperlink r:id="rId13" w:history="1">
        <w:r w:rsidRPr="00F52A22">
          <w:rPr>
            <w:rStyle w:val="Hyperlink"/>
          </w:rPr>
          <w:t>Senate Journal</w:t>
        </w:r>
        <w:r w:rsidRPr="00F52A22">
          <w:rPr>
            <w:rStyle w:val="Hyperlink"/>
          </w:rPr>
          <w:noBreakHyphen/>
          <w:t>page 9</w:t>
        </w:r>
      </w:hyperlink>
      <w:r>
        <w:t>)</w:t>
      </w:r>
    </w:p>
    <w:p w14:paraId="7C804A76" w14:textId="77777777" w:rsidR="00B401DC" w:rsidRDefault="00B401DC" w:rsidP="00B401DC">
      <w:pPr>
        <w:widowControl w:val="0"/>
        <w:tabs>
          <w:tab w:val="right" w:pos="1008"/>
          <w:tab w:val="left" w:pos="1152"/>
          <w:tab w:val="left" w:pos="1872"/>
          <w:tab w:val="left" w:pos="9187"/>
        </w:tabs>
        <w:ind w:left="2088" w:hanging="2088"/>
      </w:pPr>
      <w:r>
        <w:tab/>
        <w:t>3/2/2022</w:t>
      </w:r>
      <w:r>
        <w:tab/>
        <w:t>House</w:t>
      </w:r>
      <w:r>
        <w:tab/>
        <w:t>Introduced and read first time (</w:t>
      </w:r>
      <w:hyperlink r:id="rId14" w:history="1">
        <w:r w:rsidRPr="00F52A22">
          <w:rPr>
            <w:rStyle w:val="Hyperlink"/>
          </w:rPr>
          <w:t>House Journal</w:t>
        </w:r>
        <w:r w:rsidRPr="00F52A22">
          <w:rPr>
            <w:rStyle w:val="Hyperlink"/>
          </w:rPr>
          <w:noBreakHyphen/>
          <w:t>page 101</w:t>
        </w:r>
      </w:hyperlink>
      <w:r>
        <w:t>)</w:t>
      </w:r>
    </w:p>
    <w:p w14:paraId="60B59484" w14:textId="77777777" w:rsidR="00B401DC" w:rsidRDefault="00B401DC" w:rsidP="00B401DC">
      <w:pPr>
        <w:widowControl w:val="0"/>
        <w:tabs>
          <w:tab w:val="right" w:pos="1008"/>
          <w:tab w:val="left" w:pos="1152"/>
          <w:tab w:val="left" w:pos="1872"/>
          <w:tab w:val="left" w:pos="9187"/>
        </w:tabs>
        <w:ind w:left="2088" w:hanging="2088"/>
      </w:pPr>
      <w:r>
        <w:tab/>
        <w:t>3/2/2022</w:t>
      </w:r>
      <w:r>
        <w:tab/>
        <w:t>House</w:t>
      </w:r>
      <w:r>
        <w:tab/>
        <w:t xml:space="preserve">Referred to Committee on </w:t>
      </w:r>
      <w:r w:rsidRPr="00F52A22">
        <w:rPr>
          <w:b/>
        </w:rPr>
        <w:t>Judiciary</w:t>
      </w:r>
      <w:r>
        <w:t xml:space="preserve"> (</w:t>
      </w:r>
      <w:hyperlink r:id="rId15" w:history="1">
        <w:r w:rsidRPr="00F52A22">
          <w:rPr>
            <w:rStyle w:val="Hyperlink"/>
          </w:rPr>
          <w:t>House Journal</w:t>
        </w:r>
        <w:r w:rsidRPr="00F52A22">
          <w:rPr>
            <w:rStyle w:val="Hyperlink"/>
          </w:rPr>
          <w:noBreakHyphen/>
          <w:t>page 101</w:t>
        </w:r>
      </w:hyperlink>
      <w:r>
        <w:t>)</w:t>
      </w:r>
    </w:p>
    <w:p w14:paraId="310F6B57" w14:textId="77777777" w:rsidR="00B401DC" w:rsidRDefault="00B401DC" w:rsidP="00B401DC">
      <w:pPr>
        <w:widowControl w:val="0"/>
        <w:tabs>
          <w:tab w:val="right" w:pos="1008"/>
          <w:tab w:val="left" w:pos="1152"/>
          <w:tab w:val="left" w:pos="1872"/>
          <w:tab w:val="left" w:pos="9187"/>
        </w:tabs>
        <w:ind w:left="2088" w:hanging="2088"/>
      </w:pPr>
    </w:p>
    <w:p w14:paraId="4C48224B" w14:textId="2EC9DEBA" w:rsidR="00DE771A" w:rsidRDefault="00DE771A" w:rsidP="00DE771A">
      <w:pPr>
        <w:widowControl w:val="0"/>
        <w:tabs>
          <w:tab w:val="right" w:pos="1008"/>
          <w:tab w:val="left" w:pos="1152"/>
          <w:tab w:val="left" w:pos="1872"/>
          <w:tab w:val="left" w:pos="9187"/>
        </w:tabs>
        <w:ind w:left="2088" w:hanging="2088"/>
      </w:pPr>
      <w:r>
        <w:t xml:space="preserve">View the latest </w:t>
      </w:r>
      <w:hyperlink r:id="rId16" w:history="1">
        <w:r w:rsidRPr="00DE771A">
          <w:rPr>
            <w:rStyle w:val="Hyperlink"/>
          </w:rPr>
          <w:t>legislative information</w:t>
        </w:r>
      </w:hyperlink>
      <w:r>
        <w:t xml:space="preserve"> at the website</w:t>
      </w:r>
    </w:p>
    <w:p w14:paraId="11723EBE" w14:textId="66DDC933" w:rsidR="00DE771A" w:rsidRDefault="00DE771A" w:rsidP="00DE771A">
      <w:pPr>
        <w:widowControl w:val="0"/>
        <w:tabs>
          <w:tab w:val="right" w:pos="1008"/>
          <w:tab w:val="left" w:pos="1152"/>
          <w:tab w:val="left" w:pos="1872"/>
          <w:tab w:val="left" w:pos="9187"/>
        </w:tabs>
        <w:ind w:left="2088" w:hanging="2088"/>
      </w:pPr>
    </w:p>
    <w:p w14:paraId="657CA2FC" w14:textId="77777777" w:rsidR="00DE771A" w:rsidRPr="00DE771A" w:rsidRDefault="00DE771A" w:rsidP="00DE771A">
      <w:pPr>
        <w:widowControl w:val="0"/>
        <w:tabs>
          <w:tab w:val="right" w:pos="1008"/>
          <w:tab w:val="left" w:pos="1152"/>
          <w:tab w:val="left" w:pos="1872"/>
          <w:tab w:val="left" w:pos="9187"/>
        </w:tabs>
        <w:ind w:left="2088" w:hanging="2088"/>
      </w:pPr>
    </w:p>
    <w:p w14:paraId="74746BAE" w14:textId="12C8A58B" w:rsidR="00DE771A" w:rsidRDefault="00DE771A" w:rsidP="00DE771A">
      <w:pPr>
        <w:widowControl w:val="0"/>
      </w:pPr>
      <w:r w:rsidRPr="00DE771A">
        <w:rPr>
          <w:b/>
        </w:rPr>
        <w:t>VERSIONS OF THIS BILL</w:t>
      </w:r>
    </w:p>
    <w:p w14:paraId="36837214" w14:textId="6BBC4606" w:rsidR="00DE771A" w:rsidRDefault="00DE771A" w:rsidP="00DE771A">
      <w:pPr>
        <w:widowControl w:val="0"/>
      </w:pPr>
    </w:p>
    <w:p w14:paraId="30D74F70" w14:textId="04148097" w:rsidR="00DE771A" w:rsidRDefault="00530C52" w:rsidP="00DE771A">
      <w:pPr>
        <w:widowControl w:val="0"/>
      </w:pPr>
      <w:hyperlink r:id="rId17" w:history="1">
        <w:r w:rsidR="00DE771A">
          <w:rPr>
            <w:rStyle w:val="Hyperlink"/>
          </w:rPr>
          <w:t>1/12/2021</w:t>
        </w:r>
      </w:hyperlink>
    </w:p>
    <w:p w14:paraId="39F443D7" w14:textId="4A128042" w:rsidR="00DE771A" w:rsidRDefault="00530C52" w:rsidP="00DE771A">
      <w:hyperlink r:id="rId18" w:history="1">
        <w:r w:rsidR="00B72DA4" w:rsidRPr="00B72DA4">
          <w:rPr>
            <w:rStyle w:val="Hyperlink"/>
          </w:rPr>
          <w:t>2/23/2022</w:t>
        </w:r>
      </w:hyperlink>
    </w:p>
    <w:p w14:paraId="3A3E8AED" w14:textId="2AB6D119" w:rsidR="00B72DA4" w:rsidRDefault="00530C52" w:rsidP="00DE771A">
      <w:hyperlink r:id="rId19" w:history="1">
        <w:r w:rsidR="00F40B5E" w:rsidRPr="00F40B5E">
          <w:rPr>
            <w:rStyle w:val="Hyperlink"/>
          </w:rPr>
          <w:t>3/1/2022</w:t>
        </w:r>
      </w:hyperlink>
    </w:p>
    <w:p w14:paraId="4CD3D3A8" w14:textId="77777777" w:rsidR="00F40B5E" w:rsidRDefault="00F40B5E" w:rsidP="00DE771A"/>
    <w:p w14:paraId="73F75D3A" w14:textId="77777777" w:rsidR="00DE771A" w:rsidRDefault="00DE771A" w:rsidP="00DE771A">
      <w:pPr>
        <w:sectPr w:rsidR="00DE771A" w:rsidSect="00DE771A">
          <w:pgSz w:w="12240" w:h="15840" w:code="1"/>
          <w:pgMar w:top="1080" w:right="1440" w:bottom="1080" w:left="1440" w:header="720" w:footer="720" w:gutter="0"/>
          <w:cols w:space="720"/>
          <w:noEndnote/>
          <w:docGrid w:linePitch="360"/>
        </w:sectPr>
      </w:pPr>
    </w:p>
    <w:p w14:paraId="45E635C2"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14:paraId="2BA93E8D"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2022</w:t>
      </w:r>
    </w:p>
    <w:p w14:paraId="16D1705B"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D01152" w14:textId="77777777" w:rsidR="00F40B5E" w:rsidRPr="00B80951" w:rsidRDefault="00F40B5E" w:rsidP="00B80951">
      <w:pPr>
        <w:tabs>
          <w:tab w:val="right" w:pos="5933"/>
        </w:tabs>
        <w:suppressAutoHyphens/>
        <w:jc w:val="both"/>
        <w:rPr>
          <w:rFonts w:eastAsia="Times New Roman"/>
        </w:rPr>
      </w:pPr>
      <w:r>
        <w:rPr>
          <w:rFonts w:eastAsia="Times New Roman"/>
        </w:rPr>
        <w:tab/>
      </w:r>
      <w:r>
        <w:rPr>
          <w:rFonts w:eastAsia="Times New Roman"/>
          <w:b/>
          <w:sz w:val="36"/>
        </w:rPr>
        <w:t>S. 429</w:t>
      </w:r>
    </w:p>
    <w:p w14:paraId="783574D1"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F63D9" w14:textId="77777777" w:rsidR="00F40B5E" w:rsidRDefault="00F40B5E"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Senn, and Loftis</w:t>
      </w:r>
    </w:p>
    <w:p w14:paraId="7036414A"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39C55"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3/1/22--S.</w:t>
      </w:r>
    </w:p>
    <w:p w14:paraId="2A414AD0"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5DFD0A0" w14:textId="77777777" w:rsidR="00F40B5E" w:rsidRPr="00B80951" w:rsidRDefault="00F40B5E"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6535368"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B388FC" w14:textId="77777777" w:rsidR="00F40B5E" w:rsidRPr="00B80951"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AFAF9"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9AEA9E"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275FCD"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0B5E" w:rsidSect="00B80951">
          <w:footerReference w:type="default" r:id="rId20"/>
          <w:pgSz w:w="12240" w:h="15840" w:code="1"/>
          <w:pgMar w:top="1008" w:right="4680" w:bottom="3499" w:left="1627" w:header="720" w:footer="3499" w:gutter="0"/>
          <w:lnNumType w:countBy="1" w:distance="173"/>
          <w:pgNumType w:start="1"/>
          <w:cols w:space="720"/>
          <w:noEndnote/>
          <w:docGrid w:linePitch="360"/>
        </w:sectPr>
      </w:pPr>
    </w:p>
    <w:p w14:paraId="6E932259"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9993C"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851AA"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81A971"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4E4737"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EE9DD"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E97CD"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828F7B"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C72CD6" w14:textId="77777777" w:rsidR="00F40B5E" w:rsidRPr="008F023B" w:rsidRDefault="00F40B5E" w:rsidP="0066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14:paraId="1D0FEEB4"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52485" w14:textId="77777777" w:rsidR="00F40B5E" w:rsidRPr="00522CE0"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ARTICLE 1, CHAPTER 3, TITLE 16 OF THE 1976 CODE, RELATING TO HOMICIDE, BY ADDING SECTION 16</w:t>
      </w:r>
      <w:r>
        <w:noBreakHyphen/>
        <w:t>3</w:t>
      </w:r>
      <w:r>
        <w:noBreakHyphen/>
        <w:t xml:space="preserve">80, </w:t>
      </w:r>
      <w:r>
        <w:rPr>
          <w:rFonts w:eastAsia="Times New Roman"/>
        </w:rPr>
        <w:t>TO CREATE THE OFFENSE OF DRUG-INDUCED HOMICIDE, TO PROVIDE A PENALTY FOR A VIOLATION, AND TO PROHIBIT AN AFFIRMATIVE DEFENSE; AND TO AMEND SECTION 16-1-10(D) OF THE 1976 CODE, RELATING TO A LIST OF EXCEPTIONS FOR FELONIES AND MISDEMEANORS, TO ADD DRUG-INDUCED HOMICIDE</w:t>
      </w:r>
      <w:r>
        <w:t>.</w:t>
      </w:r>
    </w:p>
    <w:p w14:paraId="0296AD7B"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6989ECC5"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D3E66"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D5FB110" w14:textId="77777777" w:rsidR="00F40B5E" w:rsidRDefault="00F40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187CC5"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SECTION</w:t>
      </w:r>
      <w:r w:rsidRPr="004E4BE7">
        <w:rPr>
          <w:rFonts w:eastAsia="Times New Roman"/>
          <w:snapToGrid w:val="0"/>
          <w:szCs w:val="20"/>
        </w:rPr>
        <w:tab/>
        <w:t>1.</w:t>
      </w:r>
      <w:r w:rsidRPr="004E4BE7">
        <w:rPr>
          <w:rFonts w:eastAsia="Times New Roman"/>
          <w:snapToGrid w:val="0"/>
          <w:szCs w:val="20"/>
        </w:rPr>
        <w:tab/>
        <w:t>Article 1, Chapter 3, Title 16 of the 1976 Code is amended by adding:</w:t>
      </w:r>
    </w:p>
    <w:p w14:paraId="65774FC1"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2D3B962D"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“Section 16</w:t>
      </w:r>
      <w:r>
        <w:rPr>
          <w:rFonts w:eastAsia="Times New Roman"/>
          <w:snapToGrid w:val="0"/>
          <w:szCs w:val="20"/>
        </w:rPr>
        <w:t>-</w:t>
      </w:r>
      <w:r w:rsidRPr="004E4BE7">
        <w:rPr>
          <w:rFonts w:eastAsia="Times New Roman"/>
          <w:snapToGrid w:val="0"/>
          <w:szCs w:val="20"/>
        </w:rPr>
        <w:t>3</w:t>
      </w:r>
      <w:r>
        <w:rPr>
          <w:rFonts w:eastAsia="Times New Roman"/>
          <w:snapToGrid w:val="0"/>
          <w:szCs w:val="20"/>
        </w:rPr>
        <w:t>-</w:t>
      </w:r>
      <w:r w:rsidRPr="004E4BE7">
        <w:rPr>
          <w:rFonts w:eastAsia="Times New Roman"/>
          <w:snapToGrid w:val="0"/>
          <w:szCs w:val="20"/>
        </w:rPr>
        <w:t>80.</w:t>
      </w:r>
      <w:r w:rsidRPr="004E4BE7">
        <w:rPr>
          <w:rFonts w:eastAsia="Times New Roman"/>
          <w:snapToGrid w:val="0"/>
          <w:szCs w:val="20"/>
        </w:rPr>
        <w:tab/>
        <w:t>(A)</w:t>
      </w:r>
      <w:r w:rsidRPr="004E4BE7">
        <w:rPr>
          <w:rFonts w:eastAsia="Times New Roman"/>
          <w:snapToGrid w:val="0"/>
          <w:szCs w:val="20"/>
        </w:rPr>
        <w:tab/>
        <w:t>A person who unlawfully delivers</w:t>
      </w:r>
      <w:r>
        <w:rPr>
          <w:rFonts w:eastAsia="Times New Roman"/>
          <w:snapToGrid w:val="0"/>
          <w:szCs w:val="20"/>
        </w:rPr>
        <w:t>, dispenses, or otherwise provides</w:t>
      </w:r>
      <w:r w:rsidRPr="004E4BE7">
        <w:rPr>
          <w:rFonts w:eastAsia="Times New Roman"/>
          <w:snapToGrid w:val="0"/>
          <w:szCs w:val="20"/>
        </w:rPr>
        <w:t xml:space="preserve"> a </w:t>
      </w:r>
      <w:r>
        <w:rPr>
          <w:rFonts w:eastAsia="Times New Roman"/>
          <w:snapToGrid w:val="0"/>
          <w:szCs w:val="20"/>
        </w:rPr>
        <w:t>fentanyl or a fentanyl-related substance as defined in Section 44-53-190(B)</w:t>
      </w:r>
      <w:r w:rsidRPr="004E4BE7">
        <w:rPr>
          <w:rFonts w:eastAsia="Times New Roman"/>
          <w:snapToGrid w:val="0"/>
          <w:szCs w:val="20"/>
        </w:rPr>
        <w:t xml:space="preserve"> </w:t>
      </w:r>
      <w:r w:rsidRPr="00790146">
        <w:rPr>
          <w:rFonts w:eastAsia="Times New Roman"/>
          <w:snapToGrid w:val="0"/>
          <w:szCs w:val="20"/>
        </w:rPr>
        <w:t>and Section 44-53-210(c)(6)</w:t>
      </w:r>
      <w:r>
        <w:rPr>
          <w:rFonts w:eastAsia="Times New Roman"/>
          <w:snapToGrid w:val="0"/>
          <w:szCs w:val="20"/>
        </w:rPr>
        <w:t xml:space="preserve"> </w:t>
      </w:r>
      <w:r w:rsidRPr="004E4BE7">
        <w:rPr>
          <w:rFonts w:eastAsia="Times New Roman"/>
          <w:snapToGrid w:val="0"/>
          <w:szCs w:val="20"/>
        </w:rPr>
        <w:t>to another person, in violation of the provisions of Section 44</w:t>
      </w:r>
      <w:r>
        <w:rPr>
          <w:rFonts w:eastAsia="Times New Roman"/>
          <w:snapToGrid w:val="0"/>
          <w:szCs w:val="20"/>
        </w:rPr>
        <w:t>-</w:t>
      </w:r>
      <w:r w:rsidRPr="004E4BE7">
        <w:rPr>
          <w:rFonts w:eastAsia="Times New Roman"/>
          <w:snapToGrid w:val="0"/>
          <w:szCs w:val="20"/>
        </w:rPr>
        <w:t>53</w:t>
      </w:r>
      <w:r>
        <w:rPr>
          <w:rFonts w:eastAsia="Times New Roman"/>
          <w:snapToGrid w:val="0"/>
          <w:szCs w:val="20"/>
        </w:rPr>
        <w:t>-</w:t>
      </w:r>
      <w:r w:rsidRPr="004E4BE7">
        <w:rPr>
          <w:rFonts w:eastAsia="Times New Roman"/>
          <w:snapToGrid w:val="0"/>
          <w:szCs w:val="20"/>
        </w:rPr>
        <w:t xml:space="preserve">370, if the proximate cause of the death of </w:t>
      </w:r>
      <w:r>
        <w:rPr>
          <w:rFonts w:eastAsia="Times New Roman"/>
          <w:snapToGrid w:val="0"/>
          <w:szCs w:val="20"/>
        </w:rPr>
        <w:t>any</w:t>
      </w:r>
      <w:r w:rsidRPr="004E4BE7">
        <w:rPr>
          <w:rFonts w:eastAsia="Times New Roman"/>
          <w:snapToGrid w:val="0"/>
          <w:szCs w:val="20"/>
        </w:rPr>
        <w:t xml:space="preserve"> other person is the injection, inhalation, absorption, or ingestion of any amount of the </w:t>
      </w:r>
      <w:r>
        <w:rPr>
          <w:rFonts w:eastAsia="Times New Roman"/>
          <w:snapToGrid w:val="0"/>
          <w:szCs w:val="20"/>
        </w:rPr>
        <w:t>fentanyl or fentanyl-related substance</w:t>
      </w:r>
      <w:r w:rsidRPr="004E4BE7">
        <w:rPr>
          <w:rFonts w:eastAsia="Times New Roman"/>
          <w:snapToGrid w:val="0"/>
          <w:szCs w:val="20"/>
        </w:rPr>
        <w:t xml:space="preserve">, commits the felony offense of </w:t>
      </w:r>
      <w:r>
        <w:rPr>
          <w:rFonts w:eastAsia="Times New Roman"/>
          <w:snapToGrid w:val="0"/>
          <w:szCs w:val="20"/>
        </w:rPr>
        <w:t>fentanyl-</w:t>
      </w:r>
      <w:r w:rsidRPr="004E4BE7">
        <w:rPr>
          <w:rFonts w:eastAsia="Times New Roman"/>
          <w:snapToGrid w:val="0"/>
          <w:szCs w:val="20"/>
        </w:rPr>
        <w:t>induced homicide.</w:t>
      </w:r>
    </w:p>
    <w:p w14:paraId="61FD07E0"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(B)</w:t>
      </w:r>
      <w:r w:rsidRPr="004E4BE7">
        <w:rPr>
          <w:rFonts w:eastAsia="Times New Roman"/>
          <w:snapToGrid w:val="0"/>
          <w:szCs w:val="20"/>
        </w:rPr>
        <w:tab/>
        <w:t xml:space="preserve">A person convicted of a </w:t>
      </w:r>
      <w:r>
        <w:rPr>
          <w:rFonts w:eastAsia="Times New Roman"/>
          <w:snapToGrid w:val="0"/>
          <w:szCs w:val="20"/>
        </w:rPr>
        <w:t>fentanyl-</w:t>
      </w:r>
      <w:r w:rsidRPr="004E4BE7">
        <w:rPr>
          <w:rFonts w:eastAsia="Times New Roman"/>
          <w:snapToGrid w:val="0"/>
          <w:szCs w:val="20"/>
        </w:rPr>
        <w:t>induced homicide pursuant to the provisions of this section must be impris</w:t>
      </w:r>
      <w:r>
        <w:rPr>
          <w:rFonts w:eastAsia="Times New Roman"/>
          <w:snapToGrid w:val="0"/>
          <w:szCs w:val="20"/>
        </w:rPr>
        <w:t>oned not more than thirty years</w:t>
      </w:r>
      <w:r w:rsidRPr="004E4BE7">
        <w:rPr>
          <w:rFonts w:eastAsia="Times New Roman"/>
          <w:snapToGrid w:val="0"/>
          <w:szCs w:val="20"/>
        </w:rPr>
        <w:t>.</w:t>
      </w:r>
    </w:p>
    <w:p w14:paraId="4323F9D0" w14:textId="77777777" w:rsidR="00F40B5E"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(C)</w:t>
      </w:r>
      <w:r w:rsidRPr="004E4BE7">
        <w:rPr>
          <w:rFonts w:eastAsia="Times New Roman"/>
          <w:snapToGrid w:val="0"/>
          <w:szCs w:val="20"/>
        </w:rPr>
        <w:tab/>
        <w:t>It is not a defense pursuant to this section that a decedent contributed to his own death by his purposeful, knowing, reckless, or negligent injection, inhalation, absorption, or ingestion of the controlled substance or by his consenting to the administration of the controlled substance by another person.”</w:t>
      </w:r>
    </w:p>
    <w:p w14:paraId="56336772"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SECTION</w:t>
      </w:r>
      <w:r w:rsidRPr="004E4BE7">
        <w:rPr>
          <w:rFonts w:eastAsia="Times New Roman"/>
          <w:snapToGrid w:val="0"/>
          <w:szCs w:val="20"/>
        </w:rPr>
        <w:tab/>
        <w:t>2.</w:t>
      </w:r>
      <w:r w:rsidRPr="004E4BE7">
        <w:rPr>
          <w:rFonts w:eastAsia="Times New Roman"/>
          <w:snapToGrid w:val="0"/>
          <w:szCs w:val="20"/>
        </w:rPr>
        <w:tab/>
        <w:t>Section 16-1-10(D) of the 1976 Code is amended by adding a new offense to read:</w:t>
      </w:r>
    </w:p>
    <w:p w14:paraId="0D1453D0"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FE00C68" w14:textId="77777777" w:rsidR="00F40B5E"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w:t>
      </w:r>
      <w:r>
        <w:rPr>
          <w:rFonts w:eastAsia="Times New Roman"/>
          <w:snapToGrid w:val="0"/>
          <w:szCs w:val="20"/>
        </w:rPr>
        <w:t>16-3-80 Fentanyl</w:t>
      </w:r>
      <w:r w:rsidRPr="004E4BE7">
        <w:rPr>
          <w:rFonts w:eastAsia="Times New Roman"/>
          <w:snapToGrid w:val="0"/>
          <w:szCs w:val="20"/>
        </w:rPr>
        <w:t>-induced homicide”</w:t>
      </w:r>
    </w:p>
    <w:p w14:paraId="3148D450"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205D56E"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sidRPr="004E4BE7">
        <w:rPr>
          <w:rFonts w:eastAsia="Times New Roman"/>
          <w:snapToGrid w:val="0"/>
          <w:szCs w:val="20"/>
        </w:rPr>
        <w:t>.</w:t>
      </w:r>
      <w:r w:rsidRPr="004E4BE7">
        <w:rPr>
          <w:rFonts w:eastAsia="Times New Roman"/>
          <w:snapToGrid w:val="0"/>
          <w:szCs w:val="20"/>
        </w:rPr>
        <w:tab/>
        <w:t>Section 44</w:t>
      </w:r>
      <w:r w:rsidRPr="004E4BE7">
        <w:rPr>
          <w:rFonts w:eastAsia="Times New Roman"/>
          <w:snapToGrid w:val="0"/>
          <w:szCs w:val="20"/>
        </w:rPr>
        <w:noBreakHyphen/>
        <w:t>53</w:t>
      </w:r>
      <w:r w:rsidRPr="004E4BE7">
        <w:rPr>
          <w:rFonts w:eastAsia="Times New Roman"/>
          <w:snapToGrid w:val="0"/>
          <w:szCs w:val="20"/>
        </w:rPr>
        <w:noBreakHyphen/>
        <w:t>190(B) of the 1976 Code is amended by adding an appropriately numbered new item at the end to read:</w:t>
      </w:r>
    </w:p>
    <w:p w14:paraId="44D9CB08"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24EC539"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“__.</w:t>
      </w:r>
      <w:r w:rsidRPr="004E4BE7">
        <w:rPr>
          <w:rFonts w:eastAsia="Times New Roman"/>
          <w:snapToGrid w:val="0"/>
          <w:szCs w:val="20"/>
        </w:rPr>
        <w:tab/>
        <w:t>Fentanyl</w:t>
      </w:r>
      <w:r w:rsidRPr="004E4BE7">
        <w:rPr>
          <w:rFonts w:eastAsia="Times New Roman"/>
          <w:snapToGrid w:val="0"/>
          <w:szCs w:val="20"/>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14:paraId="52F11B4F"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a.</w:t>
      </w:r>
      <w:r w:rsidRPr="004E4BE7">
        <w:rPr>
          <w:rFonts w:eastAsia="Times New Roman"/>
          <w:snapToGrid w:val="0"/>
          <w:szCs w:val="20"/>
        </w:rPr>
        <w:tab/>
      </w:r>
      <w:r w:rsidRPr="004E4BE7">
        <w:rPr>
          <w:rFonts w:eastAsia="Times New Roman"/>
          <w:snapToGrid w:val="0"/>
          <w:szCs w:val="20"/>
        </w:rPr>
        <w:tab/>
        <w:t>replacement of the phenyl portion of the phenethyl group by any monocycle, whether or not further substituted in or on the monocycle;</w:t>
      </w:r>
    </w:p>
    <w:p w14:paraId="06B18C6E"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b.</w:t>
      </w:r>
      <w:r w:rsidRPr="004E4BE7">
        <w:rPr>
          <w:rFonts w:eastAsia="Times New Roman"/>
          <w:snapToGrid w:val="0"/>
          <w:szCs w:val="20"/>
        </w:rPr>
        <w:tab/>
      </w:r>
      <w:r w:rsidRPr="004E4BE7">
        <w:rPr>
          <w:rFonts w:eastAsia="Times New Roman"/>
          <w:snapToGrid w:val="0"/>
          <w:szCs w:val="20"/>
        </w:rPr>
        <w:tab/>
        <w:t>substitution in or on the phenethyl group with alkyl, alkenyl, alkoxyl, hydroxyl, halo, haloalkyl, amino or nitro groups;</w:t>
      </w:r>
    </w:p>
    <w:p w14:paraId="64650C8F"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c.</w:t>
      </w:r>
      <w:r w:rsidRPr="004E4BE7">
        <w:rPr>
          <w:rFonts w:eastAsia="Times New Roman"/>
          <w:snapToGrid w:val="0"/>
          <w:szCs w:val="20"/>
        </w:rPr>
        <w:tab/>
      </w:r>
      <w:r w:rsidRPr="004E4BE7">
        <w:rPr>
          <w:rFonts w:eastAsia="Times New Roman"/>
          <w:snapToGrid w:val="0"/>
          <w:szCs w:val="20"/>
        </w:rPr>
        <w:tab/>
        <w:t>substitution in or on the piperidine ring with alkyl, alkenyl, alkoxyl, ester, ether, hydroxyl, halo, haloalkyl, amino or nitro groups;</w:t>
      </w:r>
    </w:p>
    <w:p w14:paraId="139FB76C"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d.</w:t>
      </w:r>
      <w:r w:rsidRPr="004E4BE7">
        <w:rPr>
          <w:rFonts w:eastAsia="Times New Roman"/>
          <w:snapToGrid w:val="0"/>
          <w:szCs w:val="20"/>
        </w:rPr>
        <w:tab/>
      </w:r>
      <w:r w:rsidRPr="004E4BE7">
        <w:rPr>
          <w:rFonts w:eastAsia="Times New Roman"/>
          <w:snapToGrid w:val="0"/>
          <w:szCs w:val="20"/>
        </w:rPr>
        <w:tab/>
        <w:t>replacement of the aniline ring with any aromatic monocycle whether or not further substituted in or on the aromatic monocycle; and/or</w:t>
      </w:r>
    </w:p>
    <w:p w14:paraId="714C6C2B"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e.</w:t>
      </w:r>
      <w:r w:rsidRPr="004E4BE7">
        <w:rPr>
          <w:rFonts w:eastAsia="Times New Roman"/>
          <w:snapToGrid w:val="0"/>
          <w:szCs w:val="20"/>
        </w:rPr>
        <w:tab/>
      </w:r>
      <w:r w:rsidRPr="004E4BE7">
        <w:rPr>
          <w:rFonts w:eastAsia="Times New Roman"/>
          <w:snapToGrid w:val="0"/>
          <w:szCs w:val="20"/>
        </w:rPr>
        <w:tab/>
        <w:t>replacement of the N</w:t>
      </w:r>
      <w:r w:rsidRPr="004E4BE7">
        <w:rPr>
          <w:rFonts w:eastAsia="Times New Roman"/>
          <w:snapToGrid w:val="0"/>
          <w:szCs w:val="20"/>
        </w:rPr>
        <w:noBreakHyphen/>
        <w:t>propionyl group by another acyl group</w:t>
      </w:r>
      <w:r>
        <w:rPr>
          <w:rFonts w:eastAsia="Times New Roman"/>
          <w:snapToGrid w:val="0"/>
          <w:szCs w:val="20"/>
        </w:rPr>
        <w:t xml:space="preserve"> </w:t>
      </w:r>
      <w:r w:rsidRPr="00AF4EC6">
        <w:rPr>
          <w:rFonts w:eastAsia="Times New Roman"/>
          <w:snapToGrid w:val="0"/>
          <w:szCs w:val="20"/>
        </w:rPr>
        <w:t>or hydrogen</w:t>
      </w:r>
      <w:r w:rsidRPr="004E4BE7">
        <w:rPr>
          <w:rFonts w:eastAsia="Times New Roman"/>
          <w:snapToGrid w:val="0"/>
          <w:szCs w:val="20"/>
        </w:rPr>
        <w:t>.</w:t>
      </w:r>
    </w:p>
    <w:p w14:paraId="1BDEA7D5"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This definition includes, but is not limited to, the following substances:</w:t>
      </w:r>
      <w:r w:rsidRPr="004E4BE7">
        <w:rPr>
          <w:rFonts w:eastAsia="Times New Roman"/>
          <w:snapToGrid w:val="0"/>
          <w:szCs w:val="20"/>
        </w:rPr>
        <w:tab/>
        <w:t>Methylacetyl f</w:t>
      </w:r>
      <w:r>
        <w:rPr>
          <w:rFonts w:eastAsia="Times New Roman"/>
          <w:snapToGrid w:val="0"/>
          <w:szCs w:val="20"/>
        </w:rPr>
        <w:t>entanyl, Alpha</w:t>
      </w:r>
      <w:r>
        <w:rPr>
          <w:rFonts w:eastAsia="Times New Roman"/>
          <w:snapToGrid w:val="0"/>
          <w:szCs w:val="20"/>
        </w:rPr>
        <w:noBreakHyphen/>
        <w:t xml:space="preserve">methylfentanyl, </w:t>
      </w:r>
      <w:r w:rsidRPr="004E4BE7">
        <w:rPr>
          <w:rFonts w:eastAsia="Times New Roman"/>
          <w:snapToGrid w:val="0"/>
          <w:szCs w:val="20"/>
        </w:rPr>
        <w:t>Methylthiofentanyl, Benzylfentanyl, Beta</w:t>
      </w:r>
      <w:r w:rsidRPr="004E4BE7">
        <w:rPr>
          <w:rFonts w:eastAsia="Times New Roman"/>
          <w:snapToGrid w:val="0"/>
          <w:szCs w:val="20"/>
        </w:rPr>
        <w:noBreakHyphen/>
        <w:t>hydroxyfentanyl, Beta</w:t>
      </w:r>
      <w:r w:rsidRPr="004E4BE7">
        <w:rPr>
          <w:rFonts w:eastAsia="Times New Roman"/>
          <w:snapToGrid w:val="0"/>
          <w:szCs w:val="20"/>
        </w:rPr>
        <w:noBreakHyphen/>
        <w:t>hydroxy</w:t>
      </w:r>
      <w:r w:rsidRPr="004E4BE7">
        <w:rPr>
          <w:rFonts w:eastAsia="Times New Roman"/>
          <w:snapToGrid w:val="0"/>
          <w:szCs w:val="20"/>
        </w:rPr>
        <w:noBreakHyphen/>
        <w:t>3</w:t>
      </w:r>
      <w:r w:rsidRPr="004E4BE7">
        <w:rPr>
          <w:rFonts w:eastAsia="Times New Roman"/>
          <w:snapToGrid w:val="0"/>
          <w:szCs w:val="20"/>
        </w:rPr>
        <w:noBreakHyphen/>
        <w:t>met</w:t>
      </w:r>
      <w:r>
        <w:rPr>
          <w:rFonts w:eastAsia="Times New Roman"/>
          <w:snapToGrid w:val="0"/>
          <w:szCs w:val="20"/>
        </w:rPr>
        <w:t>hylfentanyl, 3</w:t>
      </w:r>
      <w:r>
        <w:rPr>
          <w:rFonts w:eastAsia="Times New Roman"/>
          <w:snapToGrid w:val="0"/>
          <w:szCs w:val="20"/>
        </w:rPr>
        <w:noBreakHyphen/>
        <w:t xml:space="preserve">Methylfentanyl, </w:t>
      </w:r>
      <w:r w:rsidRPr="004E4BE7">
        <w:rPr>
          <w:rFonts w:eastAsia="Times New Roman"/>
          <w:snapToGrid w:val="0"/>
          <w:szCs w:val="20"/>
        </w:rPr>
        <w:t>Methylthiofentanyl, Fluorofentanyl, Thenylfentanyl or Thienyl fentanyl, Thiofentanyl, Acetylfentanyl, Butyrylfentanyl, Beta</w:t>
      </w:r>
      <w:r w:rsidRPr="004E4BE7">
        <w:rPr>
          <w:rFonts w:eastAsia="Times New Roman"/>
          <w:snapToGrid w:val="0"/>
          <w:szCs w:val="20"/>
        </w:rPr>
        <w:noBreakHyphen/>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14:paraId="47D953BF"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Pr="004E4BE7">
        <w:rPr>
          <w:rFonts w:eastAsia="Times New Roman"/>
          <w:snapToGrid w:val="0"/>
          <w:szCs w:val="20"/>
        </w:rPr>
        <w:t>.</w:t>
      </w:r>
      <w:r w:rsidRPr="004E4BE7">
        <w:rPr>
          <w:rFonts w:eastAsia="Times New Roman"/>
          <w:snapToGrid w:val="0"/>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76E9728" w14:textId="77777777" w:rsidR="00F40B5E" w:rsidRPr="004E4BE7"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8A9D263" w14:textId="77777777" w:rsidR="00F40B5E" w:rsidRPr="00522CE0" w:rsidRDefault="00F40B5E"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E4BE7">
        <w:rPr>
          <w:rFonts w:eastAsia="Times New Roman"/>
          <w:snapToGrid w:val="0"/>
          <w:szCs w:val="20"/>
        </w:rPr>
        <w:t>SECTION</w:t>
      </w:r>
      <w:r w:rsidRPr="004E4BE7">
        <w:rPr>
          <w:rFonts w:eastAsia="Times New Roman"/>
          <w:snapToGrid w:val="0"/>
          <w:szCs w:val="20"/>
        </w:rPr>
        <w:tab/>
      </w:r>
      <w:r>
        <w:rPr>
          <w:rFonts w:eastAsia="Times New Roman"/>
          <w:snapToGrid w:val="0"/>
          <w:szCs w:val="20"/>
        </w:rPr>
        <w:t>5</w:t>
      </w:r>
      <w:r w:rsidRPr="004E4BE7">
        <w:rPr>
          <w:rFonts w:eastAsia="Times New Roman"/>
          <w:snapToGrid w:val="0"/>
          <w:szCs w:val="20"/>
        </w:rPr>
        <w:t>.</w:t>
      </w:r>
      <w:r w:rsidRPr="004E4BE7">
        <w:rPr>
          <w:rFonts w:eastAsia="Times New Roman"/>
          <w:snapToGrid w:val="0"/>
          <w:szCs w:val="20"/>
        </w:rPr>
        <w:tab/>
        <w:t>This act takes effect upon approval by the Governor.</w:t>
      </w:r>
    </w:p>
    <w:p w14:paraId="55F91FB7" w14:textId="77777777" w:rsidR="00F40B5E" w:rsidRDefault="00F40B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03FA1C6" w14:textId="77777777" w:rsidR="00DE771A" w:rsidRDefault="00DE771A" w:rsidP="00F4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E771A" w:rsidSect="00B8095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FC8E3" w14:textId="77777777" w:rsidR="0064317F" w:rsidRDefault="0064317F" w:rsidP="00522CE0">
      <w:r>
        <w:separator/>
      </w:r>
    </w:p>
  </w:endnote>
  <w:endnote w:type="continuationSeparator" w:id="0">
    <w:p w14:paraId="3B52353D" w14:textId="77777777" w:rsidR="0064317F" w:rsidRDefault="006431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C114153-604D-479F-9A77-05CAE62D2809}"/>
    <w:embedBold r:id="rId2" w:fontKey="{0BC53DE1-4989-45F2-9ED6-4CE5A39B2AE2}"/>
  </w:font>
  <w:font w:name="Calibri">
    <w:panose1 w:val="020F0502020204030204"/>
    <w:charset w:val="00"/>
    <w:family w:val="swiss"/>
    <w:pitch w:val="variable"/>
    <w:sig w:usb0="E4002EFF" w:usb1="C000247B" w:usb2="00000009" w:usb3="00000000" w:csb0="000001FF" w:csb1="00000000"/>
    <w:embedRegular r:id="rId3" w:fontKey="{A399C973-73C3-4604-B0E1-07F2FBF3AFA4}"/>
    <w:embedBold r:id="rId4" w:fontKey="{1A1EC29E-7EFE-4315-BF9F-E1A1F31F40C8}"/>
  </w:font>
  <w:font w:name="Segoe UI">
    <w:panose1 w:val="020B0502040204020203"/>
    <w:charset w:val="00"/>
    <w:family w:val="swiss"/>
    <w:pitch w:val="variable"/>
    <w:sig w:usb0="E4002EFF" w:usb1="C000E47F" w:usb2="00000009" w:usb3="00000000" w:csb0="000001FF" w:csb1="00000000"/>
    <w:embedRegular r:id="rId5" w:fontKey="{D97C7E6E-80D5-491B-ACD0-DB1F9616DF5C}"/>
  </w:font>
  <w:font w:name="Cambria">
    <w:panose1 w:val="02040503050406030204"/>
    <w:charset w:val="00"/>
    <w:family w:val="roman"/>
    <w:pitch w:val="variable"/>
    <w:sig w:usb0="E00006FF" w:usb1="420024FF" w:usb2="02000000" w:usb3="00000000" w:csb0="0000019F" w:csb1="00000000"/>
    <w:embedRegular r:id="rId6" w:fontKey="{7ECCC9A0-0C1E-4925-A3FF-12302CDC4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C76D9" w14:textId="6096BDA4" w:rsidR="00F40B5E" w:rsidRPr="006633A3" w:rsidRDefault="00F40B5E" w:rsidP="006633A3">
    <w:pPr>
      <w:pStyle w:val="Footer"/>
      <w:tabs>
        <w:tab w:val="clear" w:pos="4680"/>
        <w:tab w:val="clear" w:pos="9360"/>
        <w:tab w:val="center" w:pos="2995"/>
      </w:tabs>
      <w:spacing w:before="120"/>
    </w:pPr>
    <w:r>
      <w:t>[429-</w:t>
    </w:r>
    <w:r>
      <w:fldChar w:fldCharType="begin"/>
    </w:r>
    <w:r>
      <w:instrText xml:space="preserve"> PAGE  \* MERGEFORMAT </w:instrText>
    </w:r>
    <w:r>
      <w:fldChar w:fldCharType="separate"/>
    </w:r>
    <w:r w:rsidR="00B401D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BF5F" w14:textId="4A5599D5" w:rsidR="00B80951" w:rsidRPr="006633A3" w:rsidRDefault="00F40B5E" w:rsidP="006633A3">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9A66E" w14:textId="77777777" w:rsidR="0064317F" w:rsidRDefault="0064317F" w:rsidP="00522CE0">
      <w:r>
        <w:separator/>
      </w:r>
    </w:p>
  </w:footnote>
  <w:footnote w:type="continuationSeparator" w:id="0">
    <w:p w14:paraId="09D1FA0D" w14:textId="77777777" w:rsidR="0064317F" w:rsidRDefault="006431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5DRUG.KMM.TCA"/>
    <w:docVar w:name="CoverAttorneyInitials" w:val="KMM"/>
    <w:docVar w:name="CoverAttorneyLastName" w:val="Moffitt"/>
    <w:docVar w:name="CoverBillType" w:val="b"/>
    <w:docVar w:name="CoverSenator" w:val="TCA"/>
    <w:docVar w:name="dvBillNumber" w:val="429"/>
    <w:docVar w:name="dvBillNumberPrefix" w:val="S. "/>
    <w:docVar w:name="dvOriginalBody" w:val="Senate"/>
    <w:docVar w:name="fulldraftpath" w:val="L:\S-RES\TCA\005DRUG.KMM.TCA.DOCX"/>
    <w:docVar w:name="NameofBody" w:val="S"/>
    <w:docVar w:name="vgroup2" w:val="S-RES"/>
  </w:docVars>
  <w:rsids>
    <w:rsidRoot w:val="00FA0785"/>
    <w:rsid w:val="00042AC1"/>
    <w:rsid w:val="00046516"/>
    <w:rsid w:val="00066872"/>
    <w:rsid w:val="00072458"/>
    <w:rsid w:val="0007601D"/>
    <w:rsid w:val="00094E6C"/>
    <w:rsid w:val="000B0720"/>
    <w:rsid w:val="000B5EAF"/>
    <w:rsid w:val="001315B2"/>
    <w:rsid w:val="00170561"/>
    <w:rsid w:val="00174988"/>
    <w:rsid w:val="00186AC9"/>
    <w:rsid w:val="00197DF1"/>
    <w:rsid w:val="001B3DD9"/>
    <w:rsid w:val="001B7E5D"/>
    <w:rsid w:val="001C1588"/>
    <w:rsid w:val="001D3BAC"/>
    <w:rsid w:val="00216025"/>
    <w:rsid w:val="00245C4E"/>
    <w:rsid w:val="002A7C37"/>
    <w:rsid w:val="002C1321"/>
    <w:rsid w:val="002C2031"/>
    <w:rsid w:val="002C5896"/>
    <w:rsid w:val="002D3BED"/>
    <w:rsid w:val="002D4BCD"/>
    <w:rsid w:val="00307C2B"/>
    <w:rsid w:val="00315D04"/>
    <w:rsid w:val="00374047"/>
    <w:rsid w:val="00383247"/>
    <w:rsid w:val="003D6E2B"/>
    <w:rsid w:val="003E220F"/>
    <w:rsid w:val="003E7597"/>
    <w:rsid w:val="00411A11"/>
    <w:rsid w:val="00413EBF"/>
    <w:rsid w:val="0044020F"/>
    <w:rsid w:val="00450668"/>
    <w:rsid w:val="00454138"/>
    <w:rsid w:val="00472079"/>
    <w:rsid w:val="004813A2"/>
    <w:rsid w:val="00494C44"/>
    <w:rsid w:val="004952FA"/>
    <w:rsid w:val="004B6A22"/>
    <w:rsid w:val="004D7F37"/>
    <w:rsid w:val="004E3160"/>
    <w:rsid w:val="00503E52"/>
    <w:rsid w:val="00522CE0"/>
    <w:rsid w:val="0053652A"/>
    <w:rsid w:val="00541951"/>
    <w:rsid w:val="00565148"/>
    <w:rsid w:val="00570403"/>
    <w:rsid w:val="00577450"/>
    <w:rsid w:val="00593361"/>
    <w:rsid w:val="005A413B"/>
    <w:rsid w:val="005A5017"/>
    <w:rsid w:val="005A648C"/>
    <w:rsid w:val="005C2E6C"/>
    <w:rsid w:val="005F07AC"/>
    <w:rsid w:val="005F1745"/>
    <w:rsid w:val="00633DEC"/>
    <w:rsid w:val="0064317F"/>
    <w:rsid w:val="006633A3"/>
    <w:rsid w:val="006839B8"/>
    <w:rsid w:val="006A1802"/>
    <w:rsid w:val="006C0CBB"/>
    <w:rsid w:val="006C74EA"/>
    <w:rsid w:val="006F10D9"/>
    <w:rsid w:val="006F56CF"/>
    <w:rsid w:val="00720D40"/>
    <w:rsid w:val="007318D4"/>
    <w:rsid w:val="00765784"/>
    <w:rsid w:val="007A4390"/>
    <w:rsid w:val="007E5CB7"/>
    <w:rsid w:val="008314D2"/>
    <w:rsid w:val="00870F6F"/>
    <w:rsid w:val="008B2F42"/>
    <w:rsid w:val="008C3697"/>
    <w:rsid w:val="008E185F"/>
    <w:rsid w:val="008F023B"/>
    <w:rsid w:val="00900043"/>
    <w:rsid w:val="00904E16"/>
    <w:rsid w:val="009162B3"/>
    <w:rsid w:val="00916747"/>
    <w:rsid w:val="00927C62"/>
    <w:rsid w:val="00983951"/>
    <w:rsid w:val="00984124"/>
    <w:rsid w:val="00984640"/>
    <w:rsid w:val="00991402"/>
    <w:rsid w:val="00995C37"/>
    <w:rsid w:val="009C118A"/>
    <w:rsid w:val="009F0454"/>
    <w:rsid w:val="00A02011"/>
    <w:rsid w:val="00A4011E"/>
    <w:rsid w:val="00A86015"/>
    <w:rsid w:val="00A9594E"/>
    <w:rsid w:val="00AE59C8"/>
    <w:rsid w:val="00B01C4D"/>
    <w:rsid w:val="00B10098"/>
    <w:rsid w:val="00B401DC"/>
    <w:rsid w:val="00B5790D"/>
    <w:rsid w:val="00B72DA4"/>
    <w:rsid w:val="00B945C5"/>
    <w:rsid w:val="00BA12D2"/>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F61"/>
    <w:rsid w:val="00D86943"/>
    <w:rsid w:val="00DA3C6B"/>
    <w:rsid w:val="00DA47B9"/>
    <w:rsid w:val="00DC6795"/>
    <w:rsid w:val="00DD59BD"/>
    <w:rsid w:val="00DE5635"/>
    <w:rsid w:val="00DE771A"/>
    <w:rsid w:val="00E058D3"/>
    <w:rsid w:val="00E12CA0"/>
    <w:rsid w:val="00E2236D"/>
    <w:rsid w:val="00E708D5"/>
    <w:rsid w:val="00E76AD9"/>
    <w:rsid w:val="00E86EE2"/>
    <w:rsid w:val="00E91E2F"/>
    <w:rsid w:val="00EA3546"/>
    <w:rsid w:val="00EA7354"/>
    <w:rsid w:val="00EB47AE"/>
    <w:rsid w:val="00EC34E1"/>
    <w:rsid w:val="00F0234A"/>
    <w:rsid w:val="00F05CF2"/>
    <w:rsid w:val="00F40B5E"/>
    <w:rsid w:val="00F51241"/>
    <w:rsid w:val="00F52959"/>
    <w:rsid w:val="00F55884"/>
    <w:rsid w:val="00FA078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F9C16E2"/>
  <w15:docId w15:val="{4D62184E-DDA5-4F47-BA47-B028ECF2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17F"/>
    <w:rPr>
      <w:rFonts w:ascii="Segoe UI" w:hAnsi="Segoe UI" w:cs="Segoe UI"/>
      <w:sz w:val="18"/>
      <w:szCs w:val="18"/>
    </w:rPr>
  </w:style>
  <w:style w:type="character" w:styleId="CommentReference">
    <w:name w:val="annotation reference"/>
    <w:basedOn w:val="DefaultParagraphFont"/>
    <w:uiPriority w:val="99"/>
    <w:semiHidden/>
    <w:unhideWhenUsed/>
    <w:rsid w:val="00494C44"/>
    <w:rPr>
      <w:sz w:val="16"/>
      <w:szCs w:val="16"/>
    </w:rPr>
  </w:style>
  <w:style w:type="paragraph" w:styleId="CommentText">
    <w:name w:val="annotation text"/>
    <w:basedOn w:val="Normal"/>
    <w:link w:val="CommentTextChar"/>
    <w:uiPriority w:val="99"/>
    <w:semiHidden/>
    <w:unhideWhenUsed/>
    <w:rsid w:val="00494C44"/>
    <w:rPr>
      <w:sz w:val="20"/>
      <w:szCs w:val="20"/>
    </w:rPr>
  </w:style>
  <w:style w:type="character" w:customStyle="1" w:styleId="CommentTextChar">
    <w:name w:val="Comment Text Char"/>
    <w:basedOn w:val="DefaultParagraphFont"/>
    <w:link w:val="CommentText"/>
    <w:uiPriority w:val="99"/>
    <w:semiHidden/>
    <w:rsid w:val="00494C44"/>
    <w:rPr>
      <w:sz w:val="20"/>
      <w:szCs w:val="20"/>
    </w:rPr>
  </w:style>
  <w:style w:type="paragraph" w:styleId="CommentSubject">
    <w:name w:val="annotation subject"/>
    <w:basedOn w:val="CommentText"/>
    <w:next w:val="CommentText"/>
    <w:link w:val="CommentSubjectChar"/>
    <w:uiPriority w:val="99"/>
    <w:semiHidden/>
    <w:unhideWhenUsed/>
    <w:rsid w:val="00494C44"/>
    <w:rPr>
      <w:b/>
      <w:bCs/>
    </w:rPr>
  </w:style>
  <w:style w:type="character" w:customStyle="1" w:styleId="CommentSubjectChar">
    <w:name w:val="Comment Subject Char"/>
    <w:basedOn w:val="CommentTextChar"/>
    <w:link w:val="CommentSubject"/>
    <w:uiPriority w:val="99"/>
    <w:semiHidden/>
    <w:rsid w:val="00494C44"/>
    <w:rPr>
      <w:b/>
      <w:bCs/>
      <w:sz w:val="20"/>
      <w:szCs w:val="20"/>
    </w:rPr>
  </w:style>
  <w:style w:type="character" w:styleId="Hyperlink">
    <w:name w:val="Hyperlink"/>
    <w:basedOn w:val="DefaultParagraphFont"/>
    <w:uiPriority w:val="99"/>
    <w:unhideWhenUsed/>
    <w:rsid w:val="00DE77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23.docx" TargetMode="External"/><Relationship Id="rId13" Type="http://schemas.openxmlformats.org/officeDocument/2006/relationships/hyperlink" Target="file:///h:\sj\20220302.docx" TargetMode="External"/><Relationship Id="rId18" Type="http://schemas.openxmlformats.org/officeDocument/2006/relationships/hyperlink" Target="file:///p:\pprever\2021-22\429_20220223.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210112.docx" TargetMode="External"/><Relationship Id="rId12" Type="http://schemas.openxmlformats.org/officeDocument/2006/relationships/hyperlink" Target="file:///h:\sj\20220301.docx" TargetMode="External"/><Relationship Id="rId17" Type="http://schemas.openxmlformats.org/officeDocument/2006/relationships/hyperlink" Target="file:///p:\pprever\2021-22\429_20210112.docx" TargetMode="External"/><Relationship Id="rId2" Type="http://schemas.openxmlformats.org/officeDocument/2006/relationships/settings" Target="settings.xml"/><Relationship Id="rId16" Type="http://schemas.openxmlformats.org/officeDocument/2006/relationships/hyperlink" Target="http://www.scstatehouse.gov/billsearch.php?billnumbers=429&amp;session=124&amp;summary=B"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20301.docx" TargetMode="External"/><Relationship Id="rId5" Type="http://schemas.openxmlformats.org/officeDocument/2006/relationships/endnotes" Target="endnotes.xml"/><Relationship Id="rId15" Type="http://schemas.openxmlformats.org/officeDocument/2006/relationships/hyperlink" Target="file:///h:\hj\20220302.docx" TargetMode="External"/><Relationship Id="rId23" Type="http://schemas.openxmlformats.org/officeDocument/2006/relationships/theme" Target="theme/theme1.xml"/><Relationship Id="rId10" Type="http://schemas.openxmlformats.org/officeDocument/2006/relationships/hyperlink" Target="file:///h:\sj\20220301.docx" TargetMode="External"/><Relationship Id="rId19" Type="http://schemas.openxmlformats.org/officeDocument/2006/relationships/hyperlink" Target="file:///p:\pprever\2021-22\429_20220301.docx" TargetMode="External"/><Relationship Id="rId4" Type="http://schemas.openxmlformats.org/officeDocument/2006/relationships/footnotes" Target="footnotes.xml"/><Relationship Id="rId9" Type="http://schemas.openxmlformats.org/officeDocument/2006/relationships/hyperlink" Target="file:///h:\sj\20220301.docx" TargetMode="External"/><Relationship Id="rId14" Type="http://schemas.openxmlformats.org/officeDocument/2006/relationships/hyperlink" Target="file:///h:\hj\2022030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 Subject not yet available - South Carolina Legislature Online</dc:title>
  <dc:subject/>
  <dc:creator>Rebecca Landau</dc:creator>
  <cp:keywords/>
  <dc:description/>
  <cp:lastModifiedBy>Sade Wilson</cp:lastModifiedBy>
  <cp:revision>2</cp:revision>
  <dcterms:created xsi:type="dcterms:W3CDTF">2022-04-04T13:15:00Z</dcterms:created>
  <dcterms:modified xsi:type="dcterms:W3CDTF">2022-04-04T13:15:00Z</dcterms:modified>
</cp:coreProperties>
</file>