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2C4F" w:rsidRDefault="005F2C4F" w:rsidP="005F2C4F">
      <w:pPr>
        <w:widowControl w:val="0"/>
        <w:jc w:val="center"/>
      </w:pPr>
      <w:r w:rsidRPr="005F2C4F">
        <w:rPr>
          <w:b/>
        </w:rPr>
        <w:t>South Carolina General Assembly</w:t>
      </w:r>
    </w:p>
    <w:p w:rsidR="005F2C4F" w:rsidRDefault="005F2C4F" w:rsidP="005F2C4F">
      <w:pPr>
        <w:widowControl w:val="0"/>
        <w:jc w:val="center"/>
      </w:pPr>
      <w:r>
        <w:t>124th Session, 2021-2022</w:t>
      </w:r>
    </w:p>
    <w:p w:rsidR="005F2C4F" w:rsidRDefault="005F2C4F" w:rsidP="005F2C4F">
      <w:pPr>
        <w:widowControl w:val="0"/>
        <w:jc w:val="left"/>
      </w:pPr>
    </w:p>
    <w:p w:rsidR="005F2C4F" w:rsidRDefault="005F2C4F" w:rsidP="005F2C4F">
      <w:pPr>
        <w:widowControl w:val="0"/>
        <w:jc w:val="left"/>
        <w:rPr>
          <w:b/>
        </w:rPr>
      </w:pPr>
      <w:r w:rsidRPr="005F2C4F">
        <w:rPr>
          <w:b/>
        </w:rPr>
        <w:t>S.</w:t>
      </w:r>
      <w:r>
        <w:rPr>
          <w:b/>
        </w:rPr>
        <w:t xml:space="preserve"> </w:t>
      </w:r>
      <w:r w:rsidRPr="005F2C4F">
        <w:rPr>
          <w:b/>
        </w:rPr>
        <w:t>616</w:t>
      </w:r>
    </w:p>
    <w:p w:rsidR="005F2C4F" w:rsidRDefault="005F2C4F" w:rsidP="005F2C4F">
      <w:pPr>
        <w:widowControl w:val="0"/>
        <w:jc w:val="left"/>
        <w:rPr>
          <w:b/>
        </w:rPr>
      </w:pPr>
    </w:p>
    <w:p w:rsidR="005F2C4F" w:rsidRDefault="005F2C4F" w:rsidP="005F2C4F">
      <w:pPr>
        <w:widowControl w:val="0"/>
        <w:jc w:val="left"/>
      </w:pPr>
      <w:r w:rsidRPr="005F2C4F">
        <w:rPr>
          <w:b/>
        </w:rPr>
        <w:t>STATUS INFORMATION</w:t>
      </w:r>
    </w:p>
    <w:p w:rsidR="005F2C4F" w:rsidRDefault="005F2C4F" w:rsidP="005F2C4F">
      <w:pPr>
        <w:widowControl w:val="0"/>
        <w:jc w:val="left"/>
      </w:pPr>
    </w:p>
    <w:p w:rsidR="005F2C4F" w:rsidRDefault="005F2C4F" w:rsidP="005F2C4F">
      <w:pPr>
        <w:widowControl w:val="0"/>
        <w:jc w:val="left"/>
      </w:pPr>
      <w:r>
        <w:t>General Bill</w:t>
      </w:r>
    </w:p>
    <w:p w:rsidR="005F2C4F" w:rsidRDefault="005F2C4F" w:rsidP="005F2C4F">
      <w:pPr>
        <w:widowControl w:val="0"/>
        <w:jc w:val="left"/>
      </w:pPr>
      <w:r>
        <w:t>Sponsors: Senators Turner, Allen and Scott</w:t>
      </w:r>
    </w:p>
    <w:p w:rsidR="005F2C4F" w:rsidRDefault="005F2C4F" w:rsidP="005F2C4F">
      <w:pPr>
        <w:widowControl w:val="0"/>
        <w:jc w:val="left"/>
      </w:pPr>
      <w:r>
        <w:t>Document Path: l:\council\bills\jn\3371sa21.docx</w:t>
      </w:r>
    </w:p>
    <w:p w:rsidR="0027467E" w:rsidRDefault="0027467E" w:rsidP="005F2C4F">
      <w:pPr>
        <w:widowControl w:val="0"/>
        <w:jc w:val="left"/>
      </w:pPr>
      <w:r>
        <w:t>Companion/Similar bill(s): 234, 3106</w:t>
      </w:r>
    </w:p>
    <w:p w:rsidR="005F2C4F" w:rsidRDefault="005F2C4F" w:rsidP="005F2C4F">
      <w:pPr>
        <w:widowControl w:val="0"/>
        <w:jc w:val="left"/>
      </w:pPr>
    </w:p>
    <w:p w:rsidR="005F2C4F" w:rsidRDefault="005F2C4F" w:rsidP="005F2C4F">
      <w:pPr>
        <w:widowControl w:val="0"/>
        <w:jc w:val="left"/>
      </w:pPr>
      <w:r>
        <w:t>Introduced in the Senate on February 25, 2021</w:t>
      </w:r>
    </w:p>
    <w:p w:rsidR="005F2C4F" w:rsidRDefault="005F2C4F" w:rsidP="005F2C4F">
      <w:pPr>
        <w:widowControl w:val="0"/>
        <w:jc w:val="left"/>
      </w:pPr>
      <w:r>
        <w:t xml:space="preserve">Currently residing in the Senate Committee on </w:t>
      </w:r>
      <w:r w:rsidRPr="005F2C4F">
        <w:rPr>
          <w:b/>
        </w:rPr>
        <w:t>Finance</w:t>
      </w:r>
    </w:p>
    <w:p w:rsidR="005F2C4F" w:rsidRDefault="005F2C4F" w:rsidP="005F2C4F">
      <w:pPr>
        <w:widowControl w:val="0"/>
        <w:jc w:val="left"/>
      </w:pPr>
    </w:p>
    <w:p w:rsidR="005F2C4F" w:rsidRDefault="005F2C4F" w:rsidP="005F2C4F">
      <w:pPr>
        <w:widowControl w:val="0"/>
        <w:jc w:val="left"/>
      </w:pPr>
      <w:r>
        <w:t>Summary: S and PORS Contribution Rates</w:t>
      </w:r>
    </w:p>
    <w:p w:rsidR="005F2C4F" w:rsidRDefault="005F2C4F" w:rsidP="005F2C4F">
      <w:pPr>
        <w:widowControl w:val="0"/>
        <w:jc w:val="left"/>
      </w:pPr>
    </w:p>
    <w:p w:rsidR="005F2C4F" w:rsidRDefault="005F2C4F" w:rsidP="005F2C4F">
      <w:pPr>
        <w:widowControl w:val="0"/>
        <w:jc w:val="left"/>
      </w:pPr>
    </w:p>
    <w:p w:rsidR="005F2C4F" w:rsidRDefault="005F2C4F" w:rsidP="005F2C4F">
      <w:pPr>
        <w:widowControl w:val="0"/>
        <w:tabs>
          <w:tab w:val="center" w:pos="590"/>
          <w:tab w:val="center" w:pos="1440"/>
          <w:tab w:val="left" w:pos="1872"/>
          <w:tab w:val="left" w:pos="9187"/>
        </w:tabs>
        <w:jc w:val="left"/>
      </w:pPr>
      <w:r w:rsidRPr="005F2C4F">
        <w:rPr>
          <w:b/>
        </w:rPr>
        <w:t>HISTORY OF LEGISLATIVE ACTIONS</w:t>
      </w:r>
    </w:p>
    <w:p w:rsidR="005F2C4F" w:rsidRDefault="005F2C4F" w:rsidP="005F2C4F">
      <w:pPr>
        <w:widowControl w:val="0"/>
        <w:tabs>
          <w:tab w:val="center" w:pos="590"/>
          <w:tab w:val="center" w:pos="1440"/>
          <w:tab w:val="left" w:pos="1872"/>
          <w:tab w:val="left" w:pos="9187"/>
        </w:tabs>
        <w:jc w:val="left"/>
      </w:pPr>
    </w:p>
    <w:p w:rsidR="005F2C4F" w:rsidRPr="005F2C4F" w:rsidRDefault="005F2C4F" w:rsidP="005F2C4F">
      <w:pPr>
        <w:widowControl w:val="0"/>
        <w:tabs>
          <w:tab w:val="center" w:pos="590"/>
          <w:tab w:val="center" w:pos="1440"/>
          <w:tab w:val="left" w:pos="1872"/>
          <w:tab w:val="left" w:pos="9187"/>
        </w:tabs>
        <w:jc w:val="left"/>
      </w:pPr>
      <w:r w:rsidRPr="005F2C4F">
        <w:rPr>
          <w:u w:val="single"/>
        </w:rPr>
        <w:tab/>
        <w:t>Date</w:t>
      </w:r>
      <w:r w:rsidRPr="005F2C4F">
        <w:rPr>
          <w:u w:val="single"/>
        </w:rPr>
        <w:tab/>
        <w:t>Body</w:t>
      </w:r>
      <w:r w:rsidRPr="005F2C4F">
        <w:rPr>
          <w:u w:val="single"/>
        </w:rPr>
        <w:tab/>
        <w:t>Action Description with journal page number</w:t>
      </w:r>
      <w:r w:rsidRPr="005F2C4F">
        <w:rPr>
          <w:u w:val="single"/>
        </w:rPr>
        <w:tab/>
      </w:r>
    </w:p>
    <w:p w:rsidR="00E94C18" w:rsidRDefault="00E94C18" w:rsidP="00E94C18">
      <w:pPr>
        <w:widowControl w:val="0"/>
        <w:tabs>
          <w:tab w:val="right" w:pos="1008"/>
          <w:tab w:val="left" w:pos="1152"/>
          <w:tab w:val="left" w:pos="1872"/>
          <w:tab w:val="left" w:pos="9187"/>
        </w:tabs>
        <w:ind w:left="2088" w:hanging="2088"/>
      </w:pPr>
      <w:r>
        <w:tab/>
        <w:t>2/25/2021</w:t>
      </w:r>
      <w:r>
        <w:tab/>
        <w:t>Senate</w:t>
      </w:r>
      <w:r>
        <w:tab/>
        <w:t>Introduced and read first time (</w:t>
      </w:r>
      <w:hyperlink r:id="rId7" w:history="1">
        <w:r w:rsidRPr="00D23657">
          <w:rPr>
            <w:rStyle w:val="Hyperlink"/>
          </w:rPr>
          <w:t>Senate Journal</w:t>
        </w:r>
        <w:r w:rsidRPr="00D23657">
          <w:rPr>
            <w:rStyle w:val="Hyperlink"/>
          </w:rPr>
          <w:noBreakHyphen/>
          <w:t>page 5</w:t>
        </w:r>
      </w:hyperlink>
      <w:r>
        <w:t>)</w:t>
      </w:r>
    </w:p>
    <w:p w:rsidR="00E94C18" w:rsidRDefault="00E94C18" w:rsidP="00E94C18">
      <w:pPr>
        <w:widowControl w:val="0"/>
        <w:tabs>
          <w:tab w:val="right" w:pos="1008"/>
          <w:tab w:val="left" w:pos="1152"/>
          <w:tab w:val="left" w:pos="1872"/>
          <w:tab w:val="left" w:pos="9187"/>
        </w:tabs>
        <w:ind w:left="2088" w:hanging="2088"/>
      </w:pPr>
      <w:r>
        <w:tab/>
        <w:t>2/25/2021</w:t>
      </w:r>
      <w:r>
        <w:tab/>
        <w:t>Senate</w:t>
      </w:r>
      <w:r>
        <w:tab/>
        <w:t xml:space="preserve">Referred to Committee on </w:t>
      </w:r>
      <w:r w:rsidRPr="00D23657">
        <w:rPr>
          <w:b/>
        </w:rPr>
        <w:t>Finance</w:t>
      </w:r>
      <w:r>
        <w:t xml:space="preserve"> (</w:t>
      </w:r>
      <w:hyperlink r:id="rId8" w:history="1">
        <w:r w:rsidRPr="00D23657">
          <w:rPr>
            <w:rStyle w:val="Hyperlink"/>
          </w:rPr>
          <w:t>Senate Journal</w:t>
        </w:r>
        <w:r w:rsidRPr="00D23657">
          <w:rPr>
            <w:rStyle w:val="Hyperlink"/>
          </w:rPr>
          <w:noBreakHyphen/>
          <w:t>page 5</w:t>
        </w:r>
      </w:hyperlink>
      <w:r>
        <w:t>)</w:t>
      </w:r>
    </w:p>
    <w:p w:rsidR="00E94C18" w:rsidRDefault="00E94C18" w:rsidP="00E94C18">
      <w:pPr>
        <w:widowControl w:val="0"/>
        <w:tabs>
          <w:tab w:val="right" w:pos="1008"/>
          <w:tab w:val="left" w:pos="1152"/>
          <w:tab w:val="left" w:pos="1872"/>
          <w:tab w:val="left" w:pos="9187"/>
        </w:tabs>
        <w:ind w:left="2088" w:hanging="2088"/>
      </w:pPr>
    </w:p>
    <w:p w:rsidR="005F2C4F" w:rsidRDefault="005F2C4F" w:rsidP="005F2C4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F2C4F">
          <w:rPr>
            <w:rStyle w:val="Hyperlink"/>
          </w:rPr>
          <w:t>legislative information</w:t>
        </w:r>
      </w:hyperlink>
      <w:r>
        <w:t xml:space="preserve"> at the website</w:t>
      </w:r>
    </w:p>
    <w:p w:rsidR="005F2C4F" w:rsidRDefault="005F2C4F" w:rsidP="005F2C4F">
      <w:pPr>
        <w:widowControl w:val="0"/>
        <w:tabs>
          <w:tab w:val="right" w:pos="1008"/>
          <w:tab w:val="left" w:pos="1152"/>
          <w:tab w:val="left" w:pos="1872"/>
          <w:tab w:val="left" w:pos="9187"/>
        </w:tabs>
        <w:ind w:left="2088" w:hanging="2088"/>
        <w:jc w:val="left"/>
      </w:pPr>
    </w:p>
    <w:p w:rsidR="005F2C4F" w:rsidRPr="005F2C4F" w:rsidRDefault="005F2C4F" w:rsidP="005F2C4F">
      <w:pPr>
        <w:widowControl w:val="0"/>
        <w:tabs>
          <w:tab w:val="right" w:pos="1008"/>
          <w:tab w:val="left" w:pos="1152"/>
          <w:tab w:val="left" w:pos="1872"/>
          <w:tab w:val="left" w:pos="9187"/>
        </w:tabs>
        <w:ind w:left="2088" w:hanging="2088"/>
        <w:jc w:val="left"/>
      </w:pPr>
    </w:p>
    <w:p w:rsidR="005F2C4F" w:rsidRDefault="005F2C4F" w:rsidP="005F2C4F">
      <w:pPr>
        <w:widowControl w:val="0"/>
        <w:jc w:val="left"/>
      </w:pPr>
      <w:r w:rsidRPr="005F2C4F">
        <w:rPr>
          <w:b/>
        </w:rPr>
        <w:t>VERSIONS OF THIS BILL</w:t>
      </w:r>
    </w:p>
    <w:p w:rsidR="005F2C4F" w:rsidRDefault="005F2C4F" w:rsidP="005F2C4F">
      <w:pPr>
        <w:widowControl w:val="0"/>
        <w:jc w:val="left"/>
      </w:pPr>
    </w:p>
    <w:p w:rsidR="005F2C4F" w:rsidRDefault="00133AF4" w:rsidP="005F2C4F">
      <w:pPr>
        <w:widowControl w:val="0"/>
        <w:jc w:val="left"/>
      </w:pPr>
      <w:hyperlink r:id="rId10" w:history="1">
        <w:r w:rsidR="005F2C4F">
          <w:rPr>
            <w:rStyle w:val="Hyperlink"/>
          </w:rPr>
          <w:t>2/25/2021</w:t>
        </w:r>
      </w:hyperlink>
    </w:p>
    <w:p w:rsidR="005F2C4F" w:rsidRDefault="005F2C4F" w:rsidP="005F2C4F"/>
    <w:p w:rsidR="005F2C4F" w:rsidRDefault="005F2C4F" w:rsidP="005F2C4F">
      <w:pPr>
        <w:sectPr w:rsidR="005F2C4F" w:rsidSect="005F2C4F">
          <w:pgSz w:w="12240" w:h="15840" w:code="1"/>
          <w:pgMar w:top="1080" w:right="1440" w:bottom="1080" w:left="1440" w:header="720" w:footer="720" w:gutter="0"/>
          <w:cols w:space="720"/>
          <w:noEndnote/>
          <w:docGrid w:linePitch="360"/>
        </w:sectPr>
      </w:pPr>
    </w:p>
    <w:p w:rsidR="006943AE" w:rsidRDefault="006943AE" w:rsidP="00C0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4E5" w:rsidRDefault="00C044E5" w:rsidP="00C0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4E5" w:rsidRDefault="00C044E5" w:rsidP="00C0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4E5" w:rsidRDefault="00C044E5" w:rsidP="00C0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4E5" w:rsidRDefault="00C044E5" w:rsidP="00C0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4E5" w:rsidRDefault="00C044E5" w:rsidP="00C0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4E5" w:rsidRDefault="00C044E5" w:rsidP="00C0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4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38A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2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9</w:t>
      </w:r>
      <w:r w:rsidR="00E355C4">
        <w:noBreakHyphen/>
      </w:r>
      <w:r>
        <w:t>1</w:t>
      </w:r>
      <w:r w:rsidR="00E355C4">
        <w:noBreakHyphen/>
      </w:r>
      <w:r>
        <w:t>1085 AND 9</w:t>
      </w:r>
      <w:r w:rsidR="00E355C4">
        <w:noBreakHyphen/>
      </w:r>
      <w:r>
        <w:t>11</w:t>
      </w:r>
      <w:r w:rsidR="00E355C4">
        <w:noBreakHyphen/>
      </w:r>
      <w:r>
        <w:t>225, CODE OF LAWS OF SOUTH CAROLINA, 1976, BOTH RELATING TO EMPLOYER AND EMPLOYEE CONTRIBUTION RATES UNDER THE SOUTH CAROLINA RETIREMENT SYSTEM AND THE POLICE OFFICERS RETIREMENT SYSTEM RESPECTIVELY, SO AS TO PROVIDE THAT AN EMPLOYER, UP TO CERTAIN LIMITS, MAY ELECT TO PAY ALL OR A PORTION OF REQUIRED EMPLOYEE CONTRIBUTIONS DURING A FISCAL YEAR.</w:t>
      </w:r>
      <w:bookmarkStart w:id="4" w:name="titleend"/>
      <w:bookmarkEnd w:id="4"/>
    </w:p>
    <w:p w:rsidR="00C52919" w:rsidRDefault="00C52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8A3" w:rsidRDefault="00A038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38A3" w:rsidRDefault="00A038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19" w:rsidRDefault="00C52919" w:rsidP="00C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9</w:t>
      </w:r>
      <w:r w:rsidR="00E355C4">
        <w:noBreakHyphen/>
      </w:r>
      <w:r>
        <w:t>1</w:t>
      </w:r>
      <w:r w:rsidR="00E355C4">
        <w:noBreakHyphen/>
      </w:r>
      <w:r>
        <w:t>1085 of the 1976 Code is amended by adding a new subsection (E) to read:</w:t>
      </w:r>
    </w:p>
    <w:p w:rsidR="00C52919" w:rsidRDefault="00C52919" w:rsidP="00C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19" w:rsidRPr="004E181F" w:rsidRDefault="00C52919" w:rsidP="00C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“(E)</w:t>
      </w:r>
      <w:r>
        <w:tab/>
        <w:t>Notwithstanding the employer and employee contribution rates set out in this section</w:t>
      </w:r>
      <w:r>
        <w:rPr>
          <w:color w:val="000000" w:themeColor="text1"/>
          <w:u w:color="000000" w:themeColor="text1"/>
        </w:rPr>
        <w:t>, no later than July fir</w:t>
      </w:r>
      <w:r w:rsidRPr="004E181F">
        <w:rPr>
          <w:color w:val="000000" w:themeColor="text1"/>
          <w:u w:color="000000" w:themeColor="text1"/>
        </w:rPr>
        <w:t>st, an employer may notify the system of its election to increase its employer contribution rate for the f</w:t>
      </w:r>
      <w:r>
        <w:rPr>
          <w:color w:val="000000" w:themeColor="text1"/>
          <w:u w:color="000000" w:themeColor="text1"/>
        </w:rPr>
        <w:t>iscal year beginning that July fir</w:t>
      </w:r>
      <w:r w:rsidRPr="004E181F">
        <w:rPr>
          <w:color w:val="000000" w:themeColor="text1"/>
          <w:u w:color="000000" w:themeColor="text1"/>
        </w:rPr>
        <w:t xml:space="preserve">st by a percentage of earnable compensation no greater than the employee contribution rate for the fiscal year.  The employer election under this subsection may not be changed during the fiscal year.  The employee contribution rate for employees of an employer electing to increase its employer contribution rate under this subsection </w:t>
      </w:r>
      <w:r>
        <w:rPr>
          <w:color w:val="000000" w:themeColor="text1"/>
          <w:u w:color="000000" w:themeColor="text1"/>
        </w:rPr>
        <w:t>must</w:t>
      </w:r>
      <w:r w:rsidRPr="004E181F">
        <w:rPr>
          <w:color w:val="000000" w:themeColor="text1"/>
          <w:u w:color="000000" w:themeColor="text1"/>
        </w:rPr>
        <w:t xml:space="preserve"> be reduced by the additional percentage of earnable compensation paid by the employer pursuant to this subsection.  Additional contributions remitted by an employer under this subsection </w:t>
      </w:r>
      <w:r>
        <w:rPr>
          <w:color w:val="000000" w:themeColor="text1"/>
          <w:u w:color="000000" w:themeColor="text1"/>
        </w:rPr>
        <w:t>must</w:t>
      </w:r>
      <w:r w:rsidRPr="004E181F">
        <w:rPr>
          <w:color w:val="000000" w:themeColor="text1"/>
          <w:u w:color="000000" w:themeColor="text1"/>
        </w:rPr>
        <w:t xml:space="preserve"> be treated as employer contributions.”</w:t>
      </w:r>
    </w:p>
    <w:p w:rsidR="00C52919" w:rsidRDefault="00C52919" w:rsidP="00C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19" w:rsidRDefault="00C52919" w:rsidP="00C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9</w:t>
      </w:r>
      <w:r w:rsidR="00E355C4">
        <w:noBreakHyphen/>
      </w:r>
      <w:r>
        <w:t>11</w:t>
      </w:r>
      <w:r w:rsidR="00E355C4">
        <w:noBreakHyphen/>
      </w:r>
      <w:r>
        <w:t>225 of the 1976 Code is amended by adding a new subsection (E) to read:</w:t>
      </w:r>
    </w:p>
    <w:p w:rsidR="00C52919" w:rsidRDefault="00C52919" w:rsidP="00C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19" w:rsidRPr="000A25DB" w:rsidRDefault="00C52919" w:rsidP="00C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81F">
        <w:rPr>
          <w:color w:val="000000" w:themeColor="text1"/>
          <w:u w:color="000000" w:themeColor="text1"/>
        </w:rPr>
        <w:t>“</w:t>
      </w:r>
      <w:r>
        <w:rPr>
          <w:color w:val="000000" w:themeColor="text1"/>
          <w:u w:color="000000" w:themeColor="text1"/>
        </w:rPr>
        <w:t>(E)</w:t>
      </w:r>
      <w:r>
        <w:rPr>
          <w:color w:val="000000" w:themeColor="text1"/>
          <w:u w:color="000000" w:themeColor="text1"/>
        </w:rPr>
        <w:tab/>
      </w:r>
      <w:r w:rsidRPr="004E181F">
        <w:rPr>
          <w:color w:val="000000" w:themeColor="text1"/>
          <w:u w:color="000000" w:themeColor="text1"/>
        </w:rPr>
        <w:t xml:space="preserve">Notwithstanding the employer and employee contribution rates set out in this section, no later than July </w:t>
      </w:r>
      <w:r>
        <w:rPr>
          <w:color w:val="000000" w:themeColor="text1"/>
          <w:u w:color="000000" w:themeColor="text1"/>
        </w:rPr>
        <w:t>first</w:t>
      </w:r>
      <w:r w:rsidRPr="004E181F">
        <w:rPr>
          <w:color w:val="000000" w:themeColor="text1"/>
          <w:u w:color="000000" w:themeColor="text1"/>
        </w:rPr>
        <w:t xml:space="preserve">, an employer may notify the system of its election to increase its employer contribution rate for the fiscal year beginning that July </w:t>
      </w:r>
      <w:r>
        <w:rPr>
          <w:color w:val="000000" w:themeColor="text1"/>
          <w:u w:color="000000" w:themeColor="text1"/>
        </w:rPr>
        <w:t>first</w:t>
      </w:r>
      <w:r w:rsidRPr="004E181F">
        <w:rPr>
          <w:color w:val="000000" w:themeColor="text1"/>
          <w:u w:color="000000" w:themeColor="text1"/>
        </w:rPr>
        <w:t xml:space="preserve"> by a percentage of earnable compensation no greater than the employee contribution rate for the fiscal year.  The employer election under this subsection may not be changed during the fiscal year.  The employee contribution rate for employees of an employer electing to increase its employer contribution under this subsection </w:t>
      </w:r>
      <w:r>
        <w:rPr>
          <w:color w:val="000000" w:themeColor="text1"/>
          <w:u w:color="000000" w:themeColor="text1"/>
        </w:rPr>
        <w:t>must</w:t>
      </w:r>
      <w:r w:rsidRPr="004E181F">
        <w:rPr>
          <w:color w:val="000000" w:themeColor="text1"/>
          <w:u w:color="000000" w:themeColor="text1"/>
        </w:rPr>
        <w:t xml:space="preserve"> be reduced by the additional percentage of earnable compensation paid by the employer pursuant to this subsection.  Additional contributions remitted by an employer under this subsection </w:t>
      </w:r>
      <w:r>
        <w:rPr>
          <w:color w:val="000000" w:themeColor="text1"/>
          <w:u w:color="000000" w:themeColor="text1"/>
        </w:rPr>
        <w:t>must</w:t>
      </w:r>
      <w:r w:rsidRPr="004E181F">
        <w:rPr>
          <w:color w:val="000000" w:themeColor="text1"/>
          <w:u w:color="000000" w:themeColor="text1"/>
        </w:rPr>
        <w:t xml:space="preserve"> be treated as employer contributions.”</w:t>
      </w:r>
    </w:p>
    <w:p w:rsidR="00C52919" w:rsidRDefault="00C52919" w:rsidP="00C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19" w:rsidRDefault="00C52919" w:rsidP="00C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76D65" w:rsidRDefault="00E355C4" w:rsidP="00187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C52919">
        <w:t>XX</w:t>
      </w:r>
      <w:r>
        <w:noBreakHyphen/>
      </w:r>
      <w:r>
        <w:noBreakHyphen/>
      </w:r>
      <w:r>
        <w:noBreakHyphen/>
      </w:r>
      <w:r>
        <w:noBreakHyphen/>
      </w:r>
    </w:p>
    <w:p w:rsidR="005F2C4F" w:rsidRDefault="005F2C4F" w:rsidP="005F2C4F">
      <w:pPr>
        <w:suppressAutoHyphens/>
      </w:pPr>
    </w:p>
    <w:sectPr w:rsidR="005F2C4F" w:rsidSect="005F2C4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8A3" w:rsidRDefault="00A038A3" w:rsidP="009F0C77">
      <w:r>
        <w:separator/>
      </w:r>
    </w:p>
  </w:endnote>
  <w:endnote w:type="continuationSeparator" w:id="0">
    <w:p w:rsidR="00A038A3" w:rsidRDefault="00A038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0B95CA-D57F-4CAC-9ADD-6A17CC53EAEE}"/>
    <w:embedBold r:id="rId2" w:fontKey="{F4E54FE7-F53A-465A-9BF9-B4396B641B71}"/>
  </w:font>
  <w:font w:name="Calibri">
    <w:panose1 w:val="020F0502020204030204"/>
    <w:charset w:val="00"/>
    <w:family w:val="swiss"/>
    <w:pitch w:val="variable"/>
    <w:sig w:usb0="E0002EFF" w:usb1="C000247B" w:usb2="00000009" w:usb3="00000000" w:csb0="000001FF" w:csb1="00000000"/>
    <w:embedRegular r:id="rId3" w:fontKey="{34A8E9C9-2FCB-4E8D-ACB9-298A644D2A45}"/>
  </w:font>
  <w:font w:name="Segoe UI">
    <w:panose1 w:val="020B0502040204020203"/>
    <w:charset w:val="00"/>
    <w:family w:val="swiss"/>
    <w:pitch w:val="variable"/>
    <w:sig w:usb0="E4002EFF" w:usb1="C000E47F" w:usb2="00000009" w:usb3="00000000" w:csb0="000001FF" w:csb1="00000000"/>
    <w:embedRegular r:id="rId4" w:fontKey="{9333CDAB-1264-4000-A802-C57BACB97493}"/>
  </w:font>
  <w:font w:name="Cambria">
    <w:panose1 w:val="02040503050406030204"/>
    <w:charset w:val="00"/>
    <w:family w:val="roman"/>
    <w:pitch w:val="variable"/>
    <w:sig w:usb0="E00006FF" w:usb1="420024FF" w:usb2="02000000" w:usb3="00000000" w:csb0="0000019F" w:csb1="00000000"/>
    <w:embedRegular r:id="rId5" w:fontKey="{578F753C-E454-41AD-AC74-B592F40461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C4F" w:rsidRPr="006943AE" w:rsidRDefault="005F2C4F" w:rsidP="006943AE">
    <w:pPr>
      <w:pStyle w:val="Footer"/>
      <w:tabs>
        <w:tab w:val="clear" w:pos="4680"/>
        <w:tab w:val="clear" w:pos="9360"/>
        <w:tab w:val="center" w:pos="2995"/>
      </w:tabs>
      <w:spacing w:before="120"/>
    </w:pPr>
    <w:r>
      <w:t>[616]</w:t>
    </w:r>
    <w:r>
      <w:tab/>
    </w:r>
    <w:r>
      <w:fldChar w:fldCharType="begin"/>
    </w:r>
    <w:r>
      <w:instrText xml:space="preserve"> PAGE  \* MERGEFORMAT </w:instrText>
    </w:r>
    <w:r>
      <w:fldChar w:fldCharType="separate"/>
    </w:r>
    <w:r w:rsidR="00E94C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8A3" w:rsidRDefault="00A038A3" w:rsidP="009F0C77">
      <w:r>
        <w:separator/>
      </w:r>
    </w:p>
  </w:footnote>
  <w:footnote w:type="continuationSeparator" w:id="0">
    <w:p w:rsidR="00A038A3" w:rsidRDefault="00A038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71SA21"/>
    <w:docVar w:name="CoverBillType" w:val="b"/>
    <w:docVar w:name="DocPath" w:val="L:\Council\bills\JN\3371SA21.DOCX"/>
    <w:docVar w:name="dvBillNumber" w:val="616"/>
    <w:docVar w:name="dvBillNumberPrefix" w:val="S. "/>
    <w:docVar w:name="dvOriginalBody" w:val="Senate"/>
    <w:docVar w:name="dvSteno" w:val="JN"/>
    <w:docVar w:name="NameofBody" w:val="s"/>
    <w:docVar w:name="vGroup2" w:val="Council"/>
  </w:docVars>
  <w:rsids>
    <w:rsidRoot w:val="00A038A3"/>
    <w:rsid w:val="000263D9"/>
    <w:rsid w:val="00026C9A"/>
    <w:rsid w:val="000965A1"/>
    <w:rsid w:val="000C487D"/>
    <w:rsid w:val="000E1785"/>
    <w:rsid w:val="000E34D9"/>
    <w:rsid w:val="000F39F2"/>
    <w:rsid w:val="001023A4"/>
    <w:rsid w:val="0010776B"/>
    <w:rsid w:val="00133E66"/>
    <w:rsid w:val="00134ACF"/>
    <w:rsid w:val="00144E15"/>
    <w:rsid w:val="00176D65"/>
    <w:rsid w:val="00187E6A"/>
    <w:rsid w:val="001A4A62"/>
    <w:rsid w:val="001A681E"/>
    <w:rsid w:val="001D08F2"/>
    <w:rsid w:val="002037CA"/>
    <w:rsid w:val="002047A2"/>
    <w:rsid w:val="002321B6"/>
    <w:rsid w:val="0023696B"/>
    <w:rsid w:val="00250967"/>
    <w:rsid w:val="0027467E"/>
    <w:rsid w:val="002759C5"/>
    <w:rsid w:val="00277DEE"/>
    <w:rsid w:val="00280D88"/>
    <w:rsid w:val="00294ABE"/>
    <w:rsid w:val="002A3EB4"/>
    <w:rsid w:val="00325348"/>
    <w:rsid w:val="00393688"/>
    <w:rsid w:val="003B7ECA"/>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F2C4F"/>
    <w:rsid w:val="0061228A"/>
    <w:rsid w:val="006215AA"/>
    <w:rsid w:val="006340D9"/>
    <w:rsid w:val="00643B8E"/>
    <w:rsid w:val="00653ECC"/>
    <w:rsid w:val="00665EBC"/>
    <w:rsid w:val="00680479"/>
    <w:rsid w:val="006943AE"/>
    <w:rsid w:val="0069470D"/>
    <w:rsid w:val="00697B52"/>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48BF"/>
    <w:rsid w:val="008F4429"/>
    <w:rsid w:val="00932670"/>
    <w:rsid w:val="009352BB"/>
    <w:rsid w:val="00990668"/>
    <w:rsid w:val="009B397B"/>
    <w:rsid w:val="009F0C77"/>
    <w:rsid w:val="009F4DD1"/>
    <w:rsid w:val="00A038A3"/>
    <w:rsid w:val="00A64E80"/>
    <w:rsid w:val="00A741D9"/>
    <w:rsid w:val="00A85589"/>
    <w:rsid w:val="00A9741D"/>
    <w:rsid w:val="00AB0576"/>
    <w:rsid w:val="00AD4B17"/>
    <w:rsid w:val="00B26FA6"/>
    <w:rsid w:val="00B741CB"/>
    <w:rsid w:val="00B87AF8"/>
    <w:rsid w:val="00B934F3"/>
    <w:rsid w:val="00BB6347"/>
    <w:rsid w:val="00BD2134"/>
    <w:rsid w:val="00C038D8"/>
    <w:rsid w:val="00C044E5"/>
    <w:rsid w:val="00C045DD"/>
    <w:rsid w:val="00C3136F"/>
    <w:rsid w:val="00C3483A"/>
    <w:rsid w:val="00C52919"/>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55C4"/>
    <w:rsid w:val="00E437DA"/>
    <w:rsid w:val="00E63093"/>
    <w:rsid w:val="00E94C18"/>
    <w:rsid w:val="00EB00A2"/>
    <w:rsid w:val="00EB1BF3"/>
    <w:rsid w:val="00EF3EEE"/>
    <w:rsid w:val="00F149A7"/>
    <w:rsid w:val="00F50BAF"/>
    <w:rsid w:val="00F52C10"/>
    <w:rsid w:val="00F81FFD"/>
    <w:rsid w:val="00F85228"/>
    <w:rsid w:val="00F907F7"/>
    <w:rsid w:val="00FB6773"/>
    <w:rsid w:val="00FF4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373A82-7888-4368-937B-A1BAD2FEC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355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55C4"/>
    <w:rPr>
      <w:rFonts w:ascii="Segoe UI" w:eastAsia="Times New Roman" w:hAnsi="Segoe UI" w:cs="Segoe UI"/>
      <w:sz w:val="18"/>
      <w:szCs w:val="18"/>
    </w:rPr>
  </w:style>
  <w:style w:type="character" w:styleId="Hyperlink">
    <w:name w:val="Hyperlink"/>
    <w:basedOn w:val="DefaultParagraphFont"/>
    <w:uiPriority w:val="99"/>
    <w:unhideWhenUsed/>
    <w:rsid w:val="005F2C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2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616_2021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1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D7D04-9007-4153-9B19-ED7126D69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496</Words>
  <Characters>2832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616: Subject not yet available - South Carolina Legislature Online</dc:title>
  <dc:subject/>
  <dc:creator>Julie Newboult</dc:creator>
  <cp:keywords/>
  <dc:description/>
  <cp:lastModifiedBy>S Wilson</cp:lastModifiedBy>
  <cp:revision>2</cp:revision>
  <cp:lastPrinted>2021-02-23T17:54:00Z</cp:lastPrinted>
  <dcterms:created xsi:type="dcterms:W3CDTF">2021-02-25T19:13:00Z</dcterms:created>
  <dcterms:modified xsi:type="dcterms:W3CDTF">2021-02-25T19:13:00Z</dcterms:modified>
</cp:coreProperties>
</file>