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7239" w:rsidRDefault="00AB7239" w:rsidP="00AB7239">
      <w:pPr>
        <w:widowControl w:val="0"/>
        <w:jc w:val="center"/>
      </w:pPr>
      <w:r w:rsidRPr="00AB7239">
        <w:rPr>
          <w:b/>
        </w:rPr>
        <w:t>South Carolina General Assembly</w:t>
      </w:r>
    </w:p>
    <w:p w:rsidR="00AB7239" w:rsidRDefault="00AB7239" w:rsidP="00AB7239">
      <w:pPr>
        <w:widowControl w:val="0"/>
        <w:jc w:val="center"/>
      </w:pPr>
      <w:r>
        <w:t>124th Session, 2021-2022</w:t>
      </w:r>
    </w:p>
    <w:p w:rsidR="00AB7239" w:rsidRDefault="00AB7239" w:rsidP="00AB7239">
      <w:pPr>
        <w:widowControl w:val="0"/>
        <w:jc w:val="left"/>
      </w:pPr>
    </w:p>
    <w:p w:rsidR="00AB7239" w:rsidRDefault="00AB7239" w:rsidP="00AB7239">
      <w:pPr>
        <w:widowControl w:val="0"/>
        <w:jc w:val="left"/>
        <w:rPr>
          <w:b/>
        </w:rPr>
      </w:pPr>
      <w:r w:rsidRPr="00AB7239">
        <w:rPr>
          <w:b/>
        </w:rPr>
        <w:t>S.</w:t>
      </w:r>
      <w:r>
        <w:rPr>
          <w:b/>
        </w:rPr>
        <w:t xml:space="preserve"> </w:t>
      </w:r>
      <w:r w:rsidRPr="00AB7239">
        <w:rPr>
          <w:b/>
        </w:rPr>
        <w:t>681</w:t>
      </w:r>
    </w:p>
    <w:p w:rsidR="00AB7239" w:rsidRDefault="00AB7239" w:rsidP="00AB7239">
      <w:pPr>
        <w:widowControl w:val="0"/>
        <w:jc w:val="left"/>
        <w:rPr>
          <w:b/>
        </w:rPr>
      </w:pPr>
    </w:p>
    <w:p w:rsidR="00AB7239" w:rsidRDefault="00AB7239" w:rsidP="00AB7239">
      <w:pPr>
        <w:widowControl w:val="0"/>
        <w:jc w:val="left"/>
      </w:pPr>
      <w:r w:rsidRPr="00AB7239">
        <w:rPr>
          <w:b/>
        </w:rPr>
        <w:t>STATUS INFORMATION</w:t>
      </w:r>
    </w:p>
    <w:p w:rsidR="00AB7239" w:rsidRDefault="00AB7239" w:rsidP="00AB7239">
      <w:pPr>
        <w:widowControl w:val="0"/>
        <w:jc w:val="left"/>
      </w:pPr>
    </w:p>
    <w:p w:rsidR="00AB7239" w:rsidRDefault="00AB7239" w:rsidP="00AB7239">
      <w:pPr>
        <w:widowControl w:val="0"/>
        <w:jc w:val="left"/>
      </w:pPr>
      <w:r>
        <w:t>General Bill</w:t>
      </w:r>
    </w:p>
    <w:p w:rsidR="00AB7239" w:rsidRDefault="00975E76" w:rsidP="00AB7239">
      <w:pPr>
        <w:widowControl w:val="0"/>
        <w:jc w:val="left"/>
      </w:pPr>
      <w:r>
        <w:t>Sponsors: Senators Setzler, Rice, Senn, Corbin, Scott and Loftis</w:t>
      </w:r>
    </w:p>
    <w:p w:rsidR="00AB7239" w:rsidRDefault="00AB7239" w:rsidP="00AB7239">
      <w:pPr>
        <w:widowControl w:val="0"/>
        <w:jc w:val="left"/>
      </w:pPr>
      <w:r>
        <w:t>Document Path: l:\council\bills\nbd\11210dg21.docx</w:t>
      </w:r>
    </w:p>
    <w:p w:rsidR="00AB7239" w:rsidRDefault="00AB7239" w:rsidP="00AB7239">
      <w:pPr>
        <w:widowControl w:val="0"/>
        <w:jc w:val="left"/>
      </w:pPr>
    </w:p>
    <w:p w:rsidR="00AB7239" w:rsidRDefault="00AB7239" w:rsidP="00AB7239">
      <w:pPr>
        <w:widowControl w:val="0"/>
        <w:jc w:val="left"/>
      </w:pPr>
      <w:r>
        <w:t>Introduced in the Senate on March 17, 2021</w:t>
      </w:r>
    </w:p>
    <w:p w:rsidR="00AB7239" w:rsidRDefault="00AB7239" w:rsidP="00AB7239">
      <w:pPr>
        <w:widowControl w:val="0"/>
        <w:jc w:val="left"/>
      </w:pPr>
      <w:r>
        <w:t xml:space="preserve">Currently residing in the Senate Committee on </w:t>
      </w:r>
      <w:r w:rsidRPr="00AB7239">
        <w:rPr>
          <w:b/>
        </w:rPr>
        <w:t>Finance</w:t>
      </w:r>
    </w:p>
    <w:p w:rsidR="00AB7239" w:rsidRDefault="00AB7239" w:rsidP="00AB7239">
      <w:pPr>
        <w:widowControl w:val="0"/>
        <w:jc w:val="left"/>
      </w:pPr>
    </w:p>
    <w:p w:rsidR="00AB7239" w:rsidRDefault="00AB7239" w:rsidP="00AB7239">
      <w:pPr>
        <w:widowControl w:val="0"/>
        <w:jc w:val="left"/>
      </w:pPr>
      <w:r>
        <w:t>Summary: Quasi-State Agencies</w:t>
      </w:r>
    </w:p>
    <w:p w:rsidR="00AB7239" w:rsidRDefault="00AB7239" w:rsidP="00AB7239">
      <w:pPr>
        <w:widowControl w:val="0"/>
        <w:jc w:val="left"/>
      </w:pPr>
    </w:p>
    <w:p w:rsidR="00AB7239" w:rsidRDefault="00AB7239" w:rsidP="00AB7239">
      <w:pPr>
        <w:widowControl w:val="0"/>
        <w:jc w:val="left"/>
      </w:pPr>
    </w:p>
    <w:p w:rsidR="00AB7239" w:rsidRDefault="00AB7239" w:rsidP="00AB7239">
      <w:pPr>
        <w:widowControl w:val="0"/>
        <w:tabs>
          <w:tab w:val="center" w:pos="590"/>
          <w:tab w:val="center" w:pos="1440"/>
          <w:tab w:val="left" w:pos="1872"/>
          <w:tab w:val="left" w:pos="9187"/>
        </w:tabs>
        <w:jc w:val="left"/>
      </w:pPr>
      <w:r w:rsidRPr="00AB7239">
        <w:rPr>
          <w:b/>
        </w:rPr>
        <w:t>HISTORY OF LEGISLATIVE ACTIONS</w:t>
      </w:r>
    </w:p>
    <w:p w:rsidR="00AB7239" w:rsidRDefault="00AB7239" w:rsidP="00AB7239">
      <w:pPr>
        <w:widowControl w:val="0"/>
        <w:tabs>
          <w:tab w:val="center" w:pos="590"/>
          <w:tab w:val="center" w:pos="1440"/>
          <w:tab w:val="left" w:pos="1872"/>
          <w:tab w:val="left" w:pos="9187"/>
        </w:tabs>
        <w:jc w:val="left"/>
      </w:pPr>
    </w:p>
    <w:p w:rsidR="00AB7239" w:rsidRPr="00AB7239" w:rsidRDefault="00AB7239" w:rsidP="00AB7239">
      <w:pPr>
        <w:widowControl w:val="0"/>
        <w:tabs>
          <w:tab w:val="center" w:pos="590"/>
          <w:tab w:val="center" w:pos="1440"/>
          <w:tab w:val="left" w:pos="1872"/>
          <w:tab w:val="left" w:pos="9187"/>
        </w:tabs>
        <w:jc w:val="left"/>
      </w:pPr>
      <w:r w:rsidRPr="00AB7239">
        <w:rPr>
          <w:u w:val="single"/>
        </w:rPr>
        <w:tab/>
        <w:t>Date</w:t>
      </w:r>
      <w:r w:rsidRPr="00AB7239">
        <w:rPr>
          <w:u w:val="single"/>
        </w:rPr>
        <w:tab/>
        <w:t>Body</w:t>
      </w:r>
      <w:r w:rsidRPr="00AB7239">
        <w:rPr>
          <w:u w:val="single"/>
        </w:rPr>
        <w:tab/>
        <w:t>Action Description with journal page number</w:t>
      </w:r>
      <w:r w:rsidRPr="00AB7239">
        <w:rPr>
          <w:u w:val="single"/>
        </w:rPr>
        <w:tab/>
      </w:r>
    </w:p>
    <w:p w:rsidR="003056FF" w:rsidRDefault="003056FF" w:rsidP="003056FF">
      <w:pPr>
        <w:widowControl w:val="0"/>
        <w:tabs>
          <w:tab w:val="right" w:pos="1008"/>
          <w:tab w:val="left" w:pos="1152"/>
          <w:tab w:val="left" w:pos="1872"/>
          <w:tab w:val="left" w:pos="9187"/>
        </w:tabs>
        <w:ind w:left="2088" w:hanging="2088"/>
      </w:pPr>
      <w:r>
        <w:tab/>
        <w:t>3/17/2021</w:t>
      </w:r>
      <w:r>
        <w:tab/>
        <w:t>Senate</w:t>
      </w:r>
      <w:r>
        <w:tab/>
        <w:t>Introduced and read first time (</w:t>
      </w:r>
      <w:hyperlink r:id="rId7" w:history="1">
        <w:r w:rsidRPr="00A35D8A">
          <w:rPr>
            <w:rStyle w:val="Hyperlink"/>
          </w:rPr>
          <w:t>Senate Journal</w:t>
        </w:r>
        <w:r w:rsidRPr="00A35D8A">
          <w:rPr>
            <w:rStyle w:val="Hyperlink"/>
          </w:rPr>
          <w:noBreakHyphen/>
          <w:t>page 5</w:t>
        </w:r>
      </w:hyperlink>
      <w:r>
        <w:t>)</w:t>
      </w:r>
    </w:p>
    <w:p w:rsidR="003056FF" w:rsidRDefault="003056FF" w:rsidP="003056FF">
      <w:pPr>
        <w:widowControl w:val="0"/>
        <w:tabs>
          <w:tab w:val="right" w:pos="1008"/>
          <w:tab w:val="left" w:pos="1152"/>
          <w:tab w:val="left" w:pos="1872"/>
          <w:tab w:val="left" w:pos="9187"/>
        </w:tabs>
        <w:ind w:left="2088" w:hanging="2088"/>
      </w:pPr>
      <w:r>
        <w:tab/>
        <w:t>3/17/2021</w:t>
      </w:r>
      <w:r>
        <w:tab/>
        <w:t>Senate</w:t>
      </w:r>
      <w:r>
        <w:tab/>
        <w:t xml:space="preserve">Referred to Committee on </w:t>
      </w:r>
      <w:r w:rsidRPr="00A35D8A">
        <w:rPr>
          <w:b/>
        </w:rPr>
        <w:t>Finance</w:t>
      </w:r>
      <w:r>
        <w:t xml:space="preserve"> (</w:t>
      </w:r>
      <w:hyperlink r:id="rId8" w:history="1">
        <w:r w:rsidRPr="00A35D8A">
          <w:rPr>
            <w:rStyle w:val="Hyperlink"/>
          </w:rPr>
          <w:t>Senate Journal</w:t>
        </w:r>
        <w:r w:rsidRPr="00A35D8A">
          <w:rPr>
            <w:rStyle w:val="Hyperlink"/>
          </w:rPr>
          <w:noBreakHyphen/>
          <w:t>page 5</w:t>
        </w:r>
      </w:hyperlink>
      <w:r>
        <w:t>)</w:t>
      </w:r>
    </w:p>
    <w:p w:rsidR="003056FF" w:rsidRDefault="003056FF" w:rsidP="003056FF">
      <w:pPr>
        <w:widowControl w:val="0"/>
        <w:tabs>
          <w:tab w:val="right" w:pos="1008"/>
          <w:tab w:val="left" w:pos="1152"/>
          <w:tab w:val="left" w:pos="1872"/>
          <w:tab w:val="left" w:pos="9187"/>
        </w:tabs>
        <w:ind w:left="2088" w:hanging="2088"/>
      </w:pPr>
    </w:p>
    <w:p w:rsidR="00AB7239" w:rsidRDefault="00AB7239" w:rsidP="00AB723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B7239">
          <w:rPr>
            <w:rStyle w:val="Hyperlink"/>
          </w:rPr>
          <w:t>legislative information</w:t>
        </w:r>
      </w:hyperlink>
      <w:r>
        <w:t xml:space="preserve"> at the website</w:t>
      </w:r>
    </w:p>
    <w:p w:rsidR="00AB7239" w:rsidRDefault="00AB7239" w:rsidP="00AB7239">
      <w:pPr>
        <w:widowControl w:val="0"/>
        <w:tabs>
          <w:tab w:val="right" w:pos="1008"/>
          <w:tab w:val="left" w:pos="1152"/>
          <w:tab w:val="left" w:pos="1872"/>
          <w:tab w:val="left" w:pos="9187"/>
        </w:tabs>
        <w:ind w:left="2088" w:hanging="2088"/>
        <w:jc w:val="left"/>
      </w:pPr>
    </w:p>
    <w:p w:rsidR="00AB7239" w:rsidRPr="00AB7239" w:rsidRDefault="00AB7239" w:rsidP="00AB7239">
      <w:pPr>
        <w:widowControl w:val="0"/>
        <w:tabs>
          <w:tab w:val="right" w:pos="1008"/>
          <w:tab w:val="left" w:pos="1152"/>
          <w:tab w:val="left" w:pos="1872"/>
          <w:tab w:val="left" w:pos="9187"/>
        </w:tabs>
        <w:ind w:left="2088" w:hanging="2088"/>
        <w:jc w:val="left"/>
      </w:pPr>
    </w:p>
    <w:p w:rsidR="00AB7239" w:rsidRDefault="00AB7239" w:rsidP="00AB7239">
      <w:pPr>
        <w:widowControl w:val="0"/>
        <w:jc w:val="left"/>
      </w:pPr>
      <w:r w:rsidRPr="00AB7239">
        <w:rPr>
          <w:b/>
        </w:rPr>
        <w:t>VERSIONS OF THIS BILL</w:t>
      </w:r>
    </w:p>
    <w:p w:rsidR="00AB7239" w:rsidRDefault="00AB7239" w:rsidP="00AB7239">
      <w:pPr>
        <w:widowControl w:val="0"/>
        <w:jc w:val="left"/>
      </w:pPr>
    </w:p>
    <w:p w:rsidR="00AB7239" w:rsidRDefault="00981E26" w:rsidP="00AB7239">
      <w:pPr>
        <w:widowControl w:val="0"/>
        <w:jc w:val="left"/>
      </w:pPr>
      <w:hyperlink r:id="rId10" w:history="1">
        <w:r w:rsidR="00AB7239">
          <w:rPr>
            <w:rStyle w:val="Hyperlink"/>
          </w:rPr>
          <w:t>3/17/2021</w:t>
        </w:r>
      </w:hyperlink>
    </w:p>
    <w:p w:rsidR="00AB7239" w:rsidRDefault="00AB7239" w:rsidP="00AB7239"/>
    <w:p w:rsidR="00AB7239" w:rsidRDefault="00AB7239" w:rsidP="00AB7239">
      <w:pPr>
        <w:sectPr w:rsidR="00AB7239" w:rsidSect="00AB7239">
          <w:pgSz w:w="12240" w:h="15840" w:code="1"/>
          <w:pgMar w:top="1080" w:right="1440" w:bottom="1080" w:left="1440" w:header="720" w:footer="720" w:gutter="0"/>
          <w:cols w:space="720"/>
          <w:noEndnote/>
          <w:docGrid w:linePitch="360"/>
        </w:sectPr>
      </w:pPr>
    </w:p>
    <w:p w:rsidR="00B70D35" w:rsidRDefault="00B70D35" w:rsidP="0096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0B2" w:rsidRDefault="009650B2" w:rsidP="0096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0B2" w:rsidRDefault="009650B2" w:rsidP="0096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0B2" w:rsidRDefault="009650B2" w:rsidP="0096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0B2" w:rsidRDefault="009650B2" w:rsidP="0096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0B2" w:rsidRDefault="009650B2" w:rsidP="0096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0B2" w:rsidRDefault="009650B2" w:rsidP="0096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1B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6CA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7A63">
        <w:rPr>
          <w:color w:val="000000" w:themeColor="text1"/>
          <w:u w:color="000000" w:themeColor="text1"/>
        </w:rPr>
        <w:t>TO AMEND THE CODE OF LAWS OF SOUTH CAROLINA, 1976, BY ADDING CHAPTER 59 TO TITLE 11 SO AS TO PROVIDE FISCAL ACCOUNTABILITY OF QUASI</w:t>
      </w:r>
      <w:r w:rsidR="00D93A6E">
        <w:rPr>
          <w:color w:val="000000" w:themeColor="text1"/>
          <w:u w:color="000000" w:themeColor="text1"/>
        </w:rPr>
        <w:noBreakHyphen/>
      </w:r>
      <w:r w:rsidRPr="00777A63">
        <w:rPr>
          <w:color w:val="000000" w:themeColor="text1"/>
          <w:u w:color="000000" w:themeColor="text1"/>
        </w:rPr>
        <w:t>STATE AGENCIES BY THE SENATE FINANCE COMMITTEE AND THE HOUSE WAYS AND MEANS COMMITTEE, TO REQUIRE SUCH AGENCIES TO PROVIDE CERTAIN FINANCIAL INFORMATION, OPERATING PLANS, BONDING INFORMATION, AND CERTAIN INFORMATION RELATING TO REAL ESTATE TRANSACTIONS.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1BC4" w:rsidRDefault="004B1B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1BC4" w:rsidRDefault="004B1B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SECTION</w:t>
      </w:r>
      <w:r w:rsidRPr="00777A63">
        <w:rPr>
          <w:color w:val="000000" w:themeColor="text1"/>
          <w:u w:color="000000" w:themeColor="text1"/>
        </w:rPr>
        <w:tab/>
        <w:t>1.</w:t>
      </w:r>
      <w:r w:rsidRPr="00777A63">
        <w:rPr>
          <w:color w:val="000000" w:themeColor="text1"/>
          <w:u w:color="000000" w:themeColor="text1"/>
        </w:rPr>
        <w:tab/>
        <w:t>Title 11 of the 1976 Code is amended by adding:</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16380A" w:rsidRPr="00777A63">
        <w:rPr>
          <w:color w:val="000000" w:themeColor="text1"/>
          <w:u w:color="000000" w:themeColor="text1"/>
        </w:rPr>
        <w:t xml:space="preserve">CHAPTER </w:t>
      </w:r>
      <w:r w:rsidRPr="00777A63">
        <w:rPr>
          <w:color w:val="000000" w:themeColor="text1"/>
          <w:u w:color="000000" w:themeColor="text1"/>
        </w:rPr>
        <w:t>59</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77A63">
        <w:rPr>
          <w:color w:val="000000" w:themeColor="text1"/>
          <w:u w:color="000000" w:themeColor="text1"/>
        </w:rPr>
        <w:t>Fiscal Accountability of Quasi</w:t>
      </w:r>
      <w:r w:rsidR="00D93A6E">
        <w:rPr>
          <w:color w:val="000000" w:themeColor="text1"/>
          <w:u w:color="000000" w:themeColor="text1"/>
        </w:rPr>
        <w:noBreakHyphen/>
      </w:r>
      <w:r w:rsidRPr="00777A63">
        <w:rPr>
          <w:color w:val="000000" w:themeColor="text1"/>
          <w:u w:color="000000" w:themeColor="text1"/>
        </w:rPr>
        <w:t>State Agencies</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t>Section 11</w:t>
      </w:r>
      <w:r w:rsidR="00D93A6E">
        <w:rPr>
          <w:color w:val="000000" w:themeColor="text1"/>
          <w:u w:color="000000" w:themeColor="text1"/>
        </w:rPr>
        <w:noBreakHyphen/>
      </w:r>
      <w:r w:rsidRPr="00777A63">
        <w:rPr>
          <w:color w:val="000000" w:themeColor="text1"/>
          <w:u w:color="000000" w:themeColor="text1"/>
        </w:rPr>
        <w:t>59</w:t>
      </w:r>
      <w:r w:rsidR="00D93A6E">
        <w:rPr>
          <w:color w:val="000000" w:themeColor="text1"/>
          <w:u w:color="000000" w:themeColor="text1"/>
        </w:rPr>
        <w:noBreakHyphen/>
      </w:r>
      <w:r w:rsidRPr="00777A63">
        <w:rPr>
          <w:color w:val="000000" w:themeColor="text1"/>
          <w:u w:color="000000" w:themeColor="text1"/>
        </w:rPr>
        <w:t>10.</w:t>
      </w:r>
      <w:r w:rsidRPr="00777A63">
        <w:rPr>
          <w:color w:val="000000" w:themeColor="text1"/>
          <w:u w:color="000000" w:themeColor="text1"/>
        </w:rPr>
        <w:tab/>
        <w:t>For purposes of this chapter:</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t>(1)</w:t>
      </w:r>
      <w:r w:rsidRPr="00777A63">
        <w:rPr>
          <w:color w:val="000000" w:themeColor="text1"/>
          <w:u w:color="000000" w:themeColor="text1"/>
        </w:rPr>
        <w:tab/>
      </w:r>
      <w:r w:rsidR="00D93A6E">
        <w:rPr>
          <w:color w:val="000000" w:themeColor="text1"/>
          <w:u w:color="000000" w:themeColor="text1"/>
        </w:rPr>
        <w:t>‘</w:t>
      </w:r>
      <w:r w:rsidRPr="00777A63">
        <w:rPr>
          <w:color w:val="000000" w:themeColor="text1"/>
          <w:u w:color="000000" w:themeColor="text1"/>
        </w:rPr>
        <w:t>Authority</w:t>
      </w:r>
      <w:r w:rsidR="00D93A6E">
        <w:rPr>
          <w:color w:val="000000" w:themeColor="text1"/>
          <w:u w:color="000000" w:themeColor="text1"/>
        </w:rPr>
        <w:t>’</w:t>
      </w:r>
      <w:r w:rsidRPr="00777A63">
        <w:rPr>
          <w:color w:val="000000" w:themeColor="text1"/>
          <w:u w:color="000000" w:themeColor="text1"/>
        </w:rPr>
        <w:t xml:space="preserve"> means the State Fiscal Accountability Authority.</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t>(2)</w:t>
      </w:r>
      <w:r w:rsidRPr="00777A63">
        <w:rPr>
          <w:color w:val="000000" w:themeColor="text1"/>
          <w:u w:color="000000" w:themeColor="text1"/>
        </w:rPr>
        <w:tab/>
      </w:r>
      <w:r w:rsidR="00D93A6E">
        <w:rPr>
          <w:color w:val="000000" w:themeColor="text1"/>
          <w:u w:color="000000" w:themeColor="text1"/>
        </w:rPr>
        <w:t>‘</w:t>
      </w:r>
      <w:r w:rsidRPr="00777A63">
        <w:rPr>
          <w:color w:val="000000" w:themeColor="text1"/>
          <w:u w:color="000000" w:themeColor="text1"/>
        </w:rPr>
        <w:t>Committee</w:t>
      </w:r>
      <w:r w:rsidR="00D93A6E">
        <w:rPr>
          <w:color w:val="000000" w:themeColor="text1"/>
          <w:u w:color="000000" w:themeColor="text1"/>
        </w:rPr>
        <w:t>’</w:t>
      </w:r>
      <w:r w:rsidRPr="00777A63">
        <w:rPr>
          <w:color w:val="000000" w:themeColor="text1"/>
          <w:u w:color="000000" w:themeColor="text1"/>
        </w:rPr>
        <w:t xml:space="preserve"> or </w:t>
      </w:r>
      <w:r w:rsidR="00D93A6E">
        <w:rPr>
          <w:color w:val="000000" w:themeColor="text1"/>
          <w:u w:color="000000" w:themeColor="text1"/>
        </w:rPr>
        <w:t>‘</w:t>
      </w:r>
      <w:r w:rsidRPr="00777A63">
        <w:rPr>
          <w:color w:val="000000" w:themeColor="text1"/>
          <w:u w:color="000000" w:themeColor="text1"/>
        </w:rPr>
        <w:t>committees</w:t>
      </w:r>
      <w:r w:rsidR="00D93A6E">
        <w:rPr>
          <w:color w:val="000000" w:themeColor="text1"/>
          <w:u w:color="000000" w:themeColor="text1"/>
        </w:rPr>
        <w:t>’</w:t>
      </w:r>
      <w:r w:rsidRPr="00777A63">
        <w:rPr>
          <w:color w:val="000000" w:themeColor="text1"/>
          <w:u w:color="000000" w:themeColor="text1"/>
        </w:rPr>
        <w:t xml:space="preserve"> means the Senate Finance Committee and the House Ways and Means Committee.</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t>(3)</w:t>
      </w:r>
      <w:r w:rsidRPr="00777A63">
        <w:rPr>
          <w:color w:val="000000" w:themeColor="text1"/>
          <w:u w:color="000000" w:themeColor="text1"/>
        </w:rPr>
        <w:tab/>
      </w:r>
      <w:r w:rsidR="00D93A6E">
        <w:rPr>
          <w:color w:val="000000" w:themeColor="text1"/>
          <w:u w:color="000000" w:themeColor="text1"/>
        </w:rPr>
        <w:t>‘</w:t>
      </w:r>
      <w:r w:rsidRPr="00777A63">
        <w:rPr>
          <w:color w:val="000000" w:themeColor="text1"/>
          <w:u w:color="000000" w:themeColor="text1"/>
        </w:rPr>
        <w:t>Quasi</w:t>
      </w:r>
      <w:r w:rsidR="00D93A6E">
        <w:rPr>
          <w:color w:val="000000" w:themeColor="text1"/>
          <w:u w:color="000000" w:themeColor="text1"/>
        </w:rPr>
        <w:noBreakHyphen/>
      </w:r>
      <w:r w:rsidRPr="00777A63">
        <w:rPr>
          <w:color w:val="000000" w:themeColor="text1"/>
          <w:u w:color="000000" w:themeColor="text1"/>
        </w:rPr>
        <w:t>state agency</w:t>
      </w:r>
      <w:r w:rsidR="00D93A6E">
        <w:rPr>
          <w:color w:val="000000" w:themeColor="text1"/>
          <w:u w:color="000000" w:themeColor="text1"/>
        </w:rPr>
        <w:t>’</w:t>
      </w:r>
      <w:r w:rsidRPr="00777A63">
        <w:rPr>
          <w:color w:val="000000" w:themeColor="text1"/>
          <w:u w:color="000000" w:themeColor="text1"/>
        </w:rPr>
        <w:t xml:space="preserve"> includes: the Charleston Naval Complex Redevelopment Authority, the Myrtle Beach Air Force Base Redevelopment Authority,</w:t>
      </w:r>
      <w:r w:rsidR="00063763" w:rsidRPr="00777A63">
        <w:rPr>
          <w:color w:val="000000" w:themeColor="text1"/>
          <w:u w:color="000000" w:themeColor="text1"/>
        </w:rPr>
        <w:t xml:space="preserve"> the Patriots Point Development Authority,</w:t>
      </w:r>
      <w:r w:rsidR="00063763">
        <w:rPr>
          <w:color w:val="000000" w:themeColor="text1"/>
          <w:u w:color="000000" w:themeColor="text1"/>
        </w:rPr>
        <w:t xml:space="preserve"> the South Carolina Education Assistance Authority, </w:t>
      </w:r>
      <w:r w:rsidR="00063763" w:rsidRPr="00777A63">
        <w:rPr>
          <w:color w:val="000000" w:themeColor="text1"/>
          <w:u w:color="000000" w:themeColor="text1"/>
        </w:rPr>
        <w:t>the South Carolina State Housing Finance and Dev</w:t>
      </w:r>
      <w:r w:rsidR="00063763">
        <w:rPr>
          <w:color w:val="000000" w:themeColor="text1"/>
          <w:u w:color="000000" w:themeColor="text1"/>
        </w:rPr>
        <w:t xml:space="preserve">elopment Authority, </w:t>
      </w:r>
      <w:r w:rsidR="00063763" w:rsidRPr="00777A63">
        <w:rPr>
          <w:color w:val="000000" w:themeColor="text1"/>
          <w:u w:color="000000" w:themeColor="text1"/>
        </w:rPr>
        <w:t>the South Carolina Jobs</w:t>
      </w:r>
      <w:r w:rsidR="00D93A6E">
        <w:rPr>
          <w:color w:val="000000" w:themeColor="text1"/>
          <w:u w:color="000000" w:themeColor="text1"/>
        </w:rPr>
        <w:noBreakHyphen/>
      </w:r>
      <w:r w:rsidR="00063763" w:rsidRPr="00777A63">
        <w:rPr>
          <w:color w:val="000000" w:themeColor="text1"/>
          <w:u w:color="000000" w:themeColor="text1"/>
        </w:rPr>
        <w:t xml:space="preserve">Economic Development Authority, the South Carolina Lottery Commission, </w:t>
      </w:r>
      <w:r w:rsidR="00063763">
        <w:rPr>
          <w:color w:val="000000" w:themeColor="text1"/>
          <w:u w:color="000000" w:themeColor="text1"/>
        </w:rPr>
        <w:t xml:space="preserve">the </w:t>
      </w:r>
      <w:r w:rsidR="00063763" w:rsidRPr="00777A63">
        <w:rPr>
          <w:color w:val="000000" w:themeColor="text1"/>
          <w:u w:color="000000" w:themeColor="text1"/>
        </w:rPr>
        <w:t>South Carolina Public Railways,</w:t>
      </w:r>
      <w:r w:rsidR="00063763">
        <w:rPr>
          <w:color w:val="000000" w:themeColor="text1"/>
          <w:u w:color="000000" w:themeColor="text1"/>
        </w:rPr>
        <w:t xml:space="preserve"> </w:t>
      </w:r>
      <w:r w:rsidRPr="00777A63">
        <w:rPr>
          <w:color w:val="000000" w:themeColor="text1"/>
          <w:u w:color="000000" w:themeColor="text1"/>
        </w:rPr>
        <w:t>the South Carolina Public Service Authority,</w:t>
      </w:r>
      <w:r w:rsidR="00063763">
        <w:rPr>
          <w:color w:val="000000" w:themeColor="text1"/>
          <w:u w:color="000000" w:themeColor="text1"/>
        </w:rPr>
        <w:t xml:space="preserve"> </w:t>
      </w:r>
      <w:r w:rsidRPr="00777A63">
        <w:rPr>
          <w:color w:val="000000" w:themeColor="text1"/>
          <w:u w:color="000000" w:themeColor="text1"/>
        </w:rPr>
        <w:t xml:space="preserve">the South Carolina Research Authority, the South Carolina State Ports </w:t>
      </w:r>
      <w:r w:rsidRPr="00777A63">
        <w:rPr>
          <w:color w:val="000000" w:themeColor="text1"/>
          <w:u w:color="000000" w:themeColor="text1"/>
        </w:rPr>
        <w:lastRenderedPageBreak/>
        <w:t>Authority,</w:t>
      </w:r>
      <w:r w:rsidR="000211FD">
        <w:rPr>
          <w:color w:val="000000" w:themeColor="text1"/>
          <w:u w:color="000000" w:themeColor="text1"/>
        </w:rPr>
        <w:t xml:space="preserve"> and</w:t>
      </w:r>
      <w:r w:rsidRPr="00777A63">
        <w:rPr>
          <w:color w:val="000000" w:themeColor="text1"/>
          <w:u w:color="000000" w:themeColor="text1"/>
        </w:rPr>
        <w:t xml:space="preserve"> the South Carolina Tra</w:t>
      </w:r>
      <w:r w:rsidR="00063763">
        <w:rPr>
          <w:color w:val="000000" w:themeColor="text1"/>
          <w:u w:color="000000" w:themeColor="text1"/>
        </w:rPr>
        <w:t>nsportation Infrastructure Bank</w:t>
      </w:r>
      <w:r w:rsidRPr="00777A63">
        <w:rPr>
          <w:color w:val="000000" w:themeColor="text1"/>
          <w:u w:color="000000" w:themeColor="text1"/>
        </w:rPr>
        <w:t>.</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t>Section 11</w:t>
      </w:r>
      <w:r w:rsidR="00D93A6E">
        <w:rPr>
          <w:color w:val="000000" w:themeColor="text1"/>
          <w:u w:color="000000" w:themeColor="text1"/>
        </w:rPr>
        <w:noBreakHyphen/>
      </w:r>
      <w:r w:rsidRPr="00777A63">
        <w:rPr>
          <w:color w:val="000000" w:themeColor="text1"/>
          <w:u w:color="000000" w:themeColor="text1"/>
        </w:rPr>
        <w:t>59</w:t>
      </w:r>
      <w:r w:rsidR="00D93A6E">
        <w:rPr>
          <w:color w:val="000000" w:themeColor="text1"/>
          <w:u w:color="000000" w:themeColor="text1"/>
        </w:rPr>
        <w:noBreakHyphen/>
      </w:r>
      <w:r w:rsidRPr="00777A63">
        <w:rPr>
          <w:color w:val="000000" w:themeColor="text1"/>
          <w:u w:color="000000" w:themeColor="text1"/>
        </w:rPr>
        <w:t>20.</w:t>
      </w:r>
      <w:r w:rsidRPr="00777A63">
        <w:rPr>
          <w:color w:val="000000" w:themeColor="text1"/>
          <w:u w:color="000000" w:themeColor="text1"/>
        </w:rPr>
        <w:tab/>
        <w:t>The Senate Finance Committee and the House Ways and Means Committee shall provide fiscal accountability of each quasi</w:t>
      </w:r>
      <w:r w:rsidR="00D93A6E">
        <w:rPr>
          <w:color w:val="000000" w:themeColor="text1"/>
          <w:u w:color="000000" w:themeColor="text1"/>
        </w:rPr>
        <w:noBreakHyphen/>
      </w:r>
      <w:r w:rsidRPr="00777A63">
        <w:rPr>
          <w:color w:val="000000" w:themeColor="text1"/>
          <w:u w:color="000000" w:themeColor="text1"/>
        </w:rPr>
        <w:t>state agency and review each quasi</w:t>
      </w:r>
      <w:r w:rsidR="00D93A6E">
        <w:rPr>
          <w:color w:val="000000" w:themeColor="text1"/>
          <w:u w:color="000000" w:themeColor="text1"/>
        </w:rPr>
        <w:noBreakHyphen/>
      </w:r>
      <w:r w:rsidRPr="00777A63">
        <w:rPr>
          <w:color w:val="000000" w:themeColor="text1"/>
          <w:u w:color="000000" w:themeColor="text1"/>
        </w:rPr>
        <w:t>state agency no less frequently than every two years. The committees shall provide a report with findings to the Senate Legislative Oversight Committee and the House Legislative Oversight Committee.</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t>Section 11</w:t>
      </w:r>
      <w:r w:rsidR="00D93A6E">
        <w:rPr>
          <w:color w:val="000000" w:themeColor="text1"/>
          <w:u w:color="000000" w:themeColor="text1"/>
        </w:rPr>
        <w:noBreakHyphen/>
      </w:r>
      <w:r w:rsidRPr="00777A63">
        <w:rPr>
          <w:color w:val="000000" w:themeColor="text1"/>
          <w:u w:color="000000" w:themeColor="text1"/>
        </w:rPr>
        <w:t>59</w:t>
      </w:r>
      <w:r w:rsidR="00D93A6E">
        <w:rPr>
          <w:color w:val="000000" w:themeColor="text1"/>
          <w:u w:color="000000" w:themeColor="text1"/>
        </w:rPr>
        <w:noBreakHyphen/>
      </w:r>
      <w:r w:rsidRPr="00777A63">
        <w:rPr>
          <w:color w:val="000000" w:themeColor="text1"/>
          <w:u w:color="000000" w:themeColor="text1"/>
        </w:rPr>
        <w:t>30.</w:t>
      </w:r>
      <w:r w:rsidRPr="00777A63">
        <w:rPr>
          <w:color w:val="000000" w:themeColor="text1"/>
          <w:u w:color="000000" w:themeColor="text1"/>
        </w:rPr>
        <w:tab/>
        <w:t>(A)</w:t>
      </w:r>
      <w:r w:rsidRPr="00777A63">
        <w:rPr>
          <w:color w:val="000000" w:themeColor="text1"/>
          <w:u w:color="000000" w:themeColor="text1"/>
        </w:rPr>
        <w:tab/>
        <w:t>Every two years, or as often as requested by either committee, each agency must submit to the committees:</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(1)</w:t>
      </w:r>
      <w:r w:rsidRPr="00777A63">
        <w:rPr>
          <w:color w:val="000000" w:themeColor="text1"/>
          <w:u w:color="000000" w:themeColor="text1"/>
        </w:rPr>
        <w:tab/>
        <w:t>annual audited financial statements;</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(2)</w:t>
      </w:r>
      <w:r w:rsidRPr="00777A63">
        <w:rPr>
          <w:color w:val="000000" w:themeColor="text1"/>
          <w:u w:color="000000" w:themeColor="text1"/>
        </w:rPr>
        <w:tab/>
      </w:r>
      <w:r w:rsidR="00A75065">
        <w:rPr>
          <w:color w:val="000000" w:themeColor="text1"/>
          <w:u w:color="000000" w:themeColor="text1"/>
        </w:rPr>
        <w:t>projected and actual annual revenue</w:t>
      </w:r>
      <w:r w:rsidRPr="00777A63">
        <w:rPr>
          <w:color w:val="000000" w:themeColor="text1"/>
          <w:u w:color="000000" w:themeColor="text1"/>
        </w:rPr>
        <w:t>;</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(3)</w:t>
      </w:r>
      <w:r w:rsidRPr="00777A63">
        <w:rPr>
          <w:color w:val="000000" w:themeColor="text1"/>
          <w:u w:color="000000" w:themeColor="text1"/>
        </w:rPr>
        <w:tab/>
      </w:r>
      <w:r w:rsidR="00A75065">
        <w:rPr>
          <w:color w:val="000000" w:themeColor="text1"/>
          <w:u w:color="000000" w:themeColor="text1"/>
        </w:rPr>
        <w:t xml:space="preserve">actual </w:t>
      </w:r>
      <w:r w:rsidRPr="00777A63">
        <w:rPr>
          <w:color w:val="000000" w:themeColor="text1"/>
          <w:u w:color="000000" w:themeColor="text1"/>
        </w:rPr>
        <w:t>annual expenditures;</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(4)</w:t>
      </w:r>
      <w:r w:rsidRPr="00777A63">
        <w:rPr>
          <w:color w:val="000000" w:themeColor="text1"/>
          <w:u w:color="000000" w:themeColor="text1"/>
        </w:rPr>
        <w:tab/>
        <w:t>any debt issuances in the previous five years, whether short</w:t>
      </w:r>
      <w:r w:rsidR="00D93A6E">
        <w:rPr>
          <w:color w:val="000000" w:themeColor="text1"/>
          <w:u w:color="000000" w:themeColor="text1"/>
        </w:rPr>
        <w:noBreakHyphen/>
      </w:r>
      <w:r w:rsidRPr="00777A63">
        <w:rPr>
          <w:color w:val="000000" w:themeColor="text1"/>
          <w:u w:color="000000" w:themeColor="text1"/>
        </w:rPr>
        <w:t>term or long</w:t>
      </w:r>
      <w:r w:rsidR="00D93A6E">
        <w:rPr>
          <w:color w:val="000000" w:themeColor="text1"/>
          <w:u w:color="000000" w:themeColor="text1"/>
        </w:rPr>
        <w:noBreakHyphen/>
      </w:r>
      <w:r w:rsidRPr="00777A63">
        <w:rPr>
          <w:color w:val="000000" w:themeColor="text1"/>
          <w:u w:color="000000" w:themeColor="text1"/>
        </w:rPr>
        <w:t>term;</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(5)</w:t>
      </w:r>
      <w:r w:rsidRPr="00777A63">
        <w:rPr>
          <w:color w:val="000000" w:themeColor="text1"/>
          <w:u w:color="000000" w:themeColor="text1"/>
        </w:rPr>
        <w:tab/>
        <w:t xml:space="preserve">percent of annual revenues utilized for administration.  For purposes of this item, </w:t>
      </w:r>
      <w:r w:rsidR="00D93A6E">
        <w:rPr>
          <w:color w:val="000000" w:themeColor="text1"/>
          <w:u w:color="000000" w:themeColor="text1"/>
        </w:rPr>
        <w:t>‘</w:t>
      </w:r>
      <w:r w:rsidRPr="00777A63">
        <w:rPr>
          <w:color w:val="000000" w:themeColor="text1"/>
          <w:u w:color="000000" w:themeColor="text1"/>
        </w:rPr>
        <w:t>administration</w:t>
      </w:r>
      <w:r w:rsidR="00D93A6E">
        <w:rPr>
          <w:color w:val="000000" w:themeColor="text1"/>
          <w:u w:color="000000" w:themeColor="text1"/>
        </w:rPr>
        <w:t>’</w:t>
      </w:r>
      <w:r w:rsidRPr="00777A63">
        <w:rPr>
          <w:color w:val="000000" w:themeColor="text1"/>
          <w:u w:color="000000" w:themeColor="text1"/>
        </w:rPr>
        <w:t xml:space="preserve"> includes executive level employees compensation and other operating costs;</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(6)</w:t>
      </w:r>
      <w:r w:rsidRPr="00777A63">
        <w:rPr>
          <w:color w:val="000000" w:themeColor="text1"/>
          <w:u w:color="000000" w:themeColor="text1"/>
        </w:rPr>
        <w:tab/>
        <w:t>organizational flow chart displaying the position titles and name of executive</w:t>
      </w:r>
      <w:r w:rsidR="00D93A6E">
        <w:rPr>
          <w:color w:val="000000" w:themeColor="text1"/>
          <w:u w:color="000000" w:themeColor="text1"/>
        </w:rPr>
        <w:noBreakHyphen/>
      </w:r>
      <w:r w:rsidRPr="00777A63">
        <w:rPr>
          <w:color w:val="000000" w:themeColor="text1"/>
          <w:u w:color="000000" w:themeColor="text1"/>
        </w:rPr>
        <w:t>level employees;</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(7)</w:t>
      </w:r>
      <w:r w:rsidRPr="00777A63">
        <w:rPr>
          <w:color w:val="000000" w:themeColor="text1"/>
          <w:u w:color="000000" w:themeColor="text1"/>
        </w:rPr>
        <w:tab/>
        <w:t>major components of any long</w:t>
      </w:r>
      <w:r w:rsidR="00D93A6E">
        <w:rPr>
          <w:color w:val="000000" w:themeColor="text1"/>
          <w:u w:color="000000" w:themeColor="text1"/>
        </w:rPr>
        <w:noBreakHyphen/>
      </w:r>
      <w:r w:rsidRPr="00777A63">
        <w:rPr>
          <w:color w:val="000000" w:themeColor="text1"/>
          <w:u w:color="000000" w:themeColor="text1"/>
        </w:rPr>
        <w:t xml:space="preserve">term capital plan, including timing and cost estimates, and financing plan for such </w:t>
      </w:r>
      <w:r w:rsidR="00A75065">
        <w:rPr>
          <w:color w:val="000000" w:themeColor="text1"/>
          <w:u w:color="000000" w:themeColor="text1"/>
        </w:rPr>
        <w:t>capital investments whether paid from operations or debt</w:t>
      </w:r>
      <w:r w:rsidRPr="00777A63">
        <w:rPr>
          <w:color w:val="000000" w:themeColor="text1"/>
          <w:u w:color="000000" w:themeColor="text1"/>
        </w:rPr>
        <w:t>;</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(8)</w:t>
      </w:r>
      <w:r w:rsidRPr="00777A63">
        <w:rPr>
          <w:color w:val="000000" w:themeColor="text1"/>
          <w:u w:color="000000" w:themeColor="text1"/>
        </w:rPr>
        <w:tab/>
        <w:t>performance objectives and results;</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(9)</w:t>
      </w:r>
      <w:r w:rsidRPr="00777A63">
        <w:rPr>
          <w:color w:val="000000" w:themeColor="text1"/>
          <w:u w:color="000000" w:themeColor="text1"/>
        </w:rPr>
        <w:tab/>
        <w:t>performance measurements used to evaluate program effectiveness;</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(10)</w:t>
      </w:r>
      <w:r w:rsidRPr="00777A63">
        <w:rPr>
          <w:color w:val="000000" w:themeColor="text1"/>
          <w:u w:color="000000" w:themeColor="text1"/>
        </w:rPr>
        <w:tab/>
        <w:t>any outstanding litigation issues;</w:t>
      </w:r>
      <w:r w:rsidR="00063763">
        <w:rPr>
          <w:color w:val="000000" w:themeColor="text1"/>
          <w:u w:color="000000" w:themeColor="text1"/>
        </w:rPr>
        <w:t xml:space="preserve"> and</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(11)</w:t>
      </w:r>
      <w:r w:rsidRPr="00777A63">
        <w:rPr>
          <w:color w:val="000000" w:themeColor="text1"/>
          <w:u w:color="000000" w:themeColor="text1"/>
        </w:rPr>
        <w:tab/>
        <w:t>planning documents and progress reports, including budgeted and actual expenditures.</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t>(B)</w:t>
      </w:r>
      <w:r w:rsidRPr="00777A63">
        <w:rPr>
          <w:color w:val="000000" w:themeColor="text1"/>
          <w:u w:color="000000" w:themeColor="text1"/>
        </w:rPr>
        <w:tab/>
        <w:t xml:space="preserve">Each </w:t>
      </w:r>
      <w:r w:rsidR="00A75065">
        <w:rPr>
          <w:color w:val="000000" w:themeColor="text1"/>
          <w:u w:color="000000" w:themeColor="text1"/>
        </w:rPr>
        <w:t>quasi</w:t>
      </w:r>
      <w:r w:rsidR="00D93A6E">
        <w:rPr>
          <w:color w:val="000000" w:themeColor="text1"/>
          <w:u w:color="000000" w:themeColor="text1"/>
        </w:rPr>
        <w:noBreakHyphen/>
      </w:r>
      <w:r w:rsidR="00A75065">
        <w:rPr>
          <w:color w:val="000000" w:themeColor="text1"/>
          <w:u w:color="000000" w:themeColor="text1"/>
        </w:rPr>
        <w:t xml:space="preserve">state </w:t>
      </w:r>
      <w:r w:rsidRPr="00777A63">
        <w:rPr>
          <w:color w:val="000000" w:themeColor="text1"/>
          <w:u w:color="000000" w:themeColor="text1"/>
        </w:rPr>
        <w:t>agency must post its annual audited financial report in a conspicuous place on the</w:t>
      </w:r>
      <w:r w:rsidR="00A75065">
        <w:rPr>
          <w:color w:val="000000" w:themeColor="text1"/>
          <w:u w:color="000000" w:themeColor="text1"/>
        </w:rPr>
        <w:t xml:space="preserve"> quasi</w:t>
      </w:r>
      <w:r w:rsidR="00D93A6E">
        <w:rPr>
          <w:color w:val="000000" w:themeColor="text1"/>
          <w:u w:color="000000" w:themeColor="text1"/>
        </w:rPr>
        <w:noBreakHyphen/>
      </w:r>
      <w:r w:rsidR="00A75065">
        <w:rPr>
          <w:color w:val="000000" w:themeColor="text1"/>
          <w:u w:color="000000" w:themeColor="text1"/>
        </w:rPr>
        <w:t>state</w:t>
      </w:r>
      <w:r w:rsidRPr="00777A63">
        <w:rPr>
          <w:color w:val="000000" w:themeColor="text1"/>
          <w:u w:color="000000" w:themeColor="text1"/>
        </w:rPr>
        <w:t xml:space="preserve"> agency</w:t>
      </w:r>
      <w:r w:rsidR="00D93A6E">
        <w:rPr>
          <w:color w:val="000000" w:themeColor="text1"/>
          <w:u w:color="000000" w:themeColor="text1"/>
        </w:rPr>
        <w:t>’</w:t>
      </w:r>
      <w:r w:rsidRPr="00777A63">
        <w:rPr>
          <w:color w:val="000000" w:themeColor="text1"/>
          <w:u w:color="000000" w:themeColor="text1"/>
        </w:rPr>
        <w:t>s website and distribute the reports to members of the General Assembly.</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t>(C)</w:t>
      </w:r>
      <w:r w:rsidRPr="00777A63">
        <w:rPr>
          <w:color w:val="000000" w:themeColor="text1"/>
          <w:u w:color="000000" w:themeColor="text1"/>
        </w:rPr>
        <w:tab/>
        <w:t>Any problems or issues of concern that arise during this oversight process m</w:t>
      </w:r>
      <w:r w:rsidR="00A75065">
        <w:rPr>
          <w:color w:val="000000" w:themeColor="text1"/>
          <w:u w:color="000000" w:themeColor="text1"/>
        </w:rPr>
        <w:t>ay</w:t>
      </w:r>
      <w:r w:rsidRPr="00777A63">
        <w:rPr>
          <w:color w:val="000000" w:themeColor="text1"/>
          <w:u w:color="000000" w:themeColor="text1"/>
        </w:rPr>
        <w:t xml:space="preserve"> be forwarded to the State Inspector General for investigation after a vote of either committee. The Inspector General is granted the authority to complete the investigation.</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t>Section 11</w:t>
      </w:r>
      <w:r w:rsidR="00D93A6E">
        <w:rPr>
          <w:color w:val="000000" w:themeColor="text1"/>
          <w:u w:color="000000" w:themeColor="text1"/>
        </w:rPr>
        <w:noBreakHyphen/>
      </w:r>
      <w:r w:rsidRPr="00777A63">
        <w:rPr>
          <w:color w:val="000000" w:themeColor="text1"/>
          <w:u w:color="000000" w:themeColor="text1"/>
        </w:rPr>
        <w:t>59</w:t>
      </w:r>
      <w:r w:rsidR="00D93A6E">
        <w:rPr>
          <w:color w:val="000000" w:themeColor="text1"/>
          <w:u w:color="000000" w:themeColor="text1"/>
        </w:rPr>
        <w:noBreakHyphen/>
      </w:r>
      <w:r w:rsidRPr="00777A63">
        <w:rPr>
          <w:color w:val="000000" w:themeColor="text1"/>
          <w:u w:color="000000" w:themeColor="text1"/>
        </w:rPr>
        <w:t>40.</w:t>
      </w:r>
      <w:r w:rsidRPr="00777A63">
        <w:rPr>
          <w:color w:val="000000" w:themeColor="text1"/>
          <w:u w:color="000000" w:themeColor="text1"/>
        </w:rPr>
        <w:tab/>
        <w:t>(A)</w:t>
      </w:r>
      <w:r w:rsidRPr="00777A63">
        <w:rPr>
          <w:color w:val="000000" w:themeColor="text1"/>
          <w:u w:color="000000" w:themeColor="text1"/>
        </w:rPr>
        <w:tab/>
        <w:t>When a quasi</w:t>
      </w:r>
      <w:r w:rsidR="00D93A6E">
        <w:rPr>
          <w:color w:val="000000" w:themeColor="text1"/>
          <w:u w:color="000000" w:themeColor="text1"/>
        </w:rPr>
        <w:noBreakHyphen/>
      </w:r>
      <w:r w:rsidRPr="00777A63">
        <w:rPr>
          <w:color w:val="000000" w:themeColor="text1"/>
          <w:u w:color="000000" w:themeColor="text1"/>
        </w:rPr>
        <w:t>state agency issues bonds, notes, or other indebtedness, it must notify the committees of such in writing and include:</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(1)</w:t>
      </w:r>
      <w:r w:rsidRPr="00777A63">
        <w:rPr>
          <w:color w:val="000000" w:themeColor="text1"/>
          <w:u w:color="000000" w:themeColor="text1"/>
        </w:rPr>
        <w:tab/>
        <w:t>the date of issuance;</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(2)</w:t>
      </w:r>
      <w:r w:rsidRPr="00777A63">
        <w:rPr>
          <w:color w:val="000000" w:themeColor="text1"/>
          <w:u w:color="000000" w:themeColor="text1"/>
        </w:rPr>
        <w:tab/>
        <w:t>the issuance amount;</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(3)</w:t>
      </w:r>
      <w:r w:rsidRPr="00777A63">
        <w:rPr>
          <w:color w:val="000000" w:themeColor="text1"/>
          <w:u w:color="000000" w:themeColor="text1"/>
        </w:rPr>
        <w:tab/>
        <w:t>sources of payment; and</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(4)</w:t>
      </w:r>
      <w:r w:rsidRPr="00777A63">
        <w:rPr>
          <w:color w:val="000000" w:themeColor="text1"/>
          <w:u w:color="000000" w:themeColor="text1"/>
        </w:rPr>
        <w:tab/>
        <w:t>any ratings assigned to the debt, including the reports of the rating services.</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t>(B)(1)</w:t>
      </w:r>
      <w:r w:rsidRPr="00777A63">
        <w:rPr>
          <w:color w:val="000000" w:themeColor="text1"/>
          <w:u w:color="000000" w:themeColor="text1"/>
        </w:rPr>
        <w:tab/>
        <w:t>If a quasi</w:t>
      </w:r>
      <w:r w:rsidR="00D93A6E">
        <w:rPr>
          <w:color w:val="000000" w:themeColor="text1"/>
          <w:u w:color="000000" w:themeColor="text1"/>
        </w:rPr>
        <w:noBreakHyphen/>
      </w:r>
      <w:r w:rsidRPr="00777A63">
        <w:rPr>
          <w:color w:val="000000" w:themeColor="text1"/>
          <w:u w:color="000000" w:themeColor="text1"/>
        </w:rPr>
        <w:t>state agency is authorized to issue revenue bonds, once revenue debt outstanding meets or exceeds sixty percent of debt capacity, any new issuances of debt must be reviewed by the Joint Bond Review Committee and approved by the State Fiscal Accountability Authority.</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(2)</w:t>
      </w:r>
      <w:r w:rsidRPr="00777A63">
        <w:rPr>
          <w:color w:val="000000" w:themeColor="text1"/>
          <w:u w:color="000000" w:themeColor="text1"/>
        </w:rPr>
        <w:tab/>
        <w:t>The issuance of conduit debt by the South Carolina Jobs</w:t>
      </w:r>
      <w:r w:rsidR="00D93A6E">
        <w:rPr>
          <w:color w:val="000000" w:themeColor="text1"/>
          <w:u w:color="000000" w:themeColor="text1"/>
        </w:rPr>
        <w:noBreakHyphen/>
      </w:r>
      <w:r w:rsidRPr="00777A63">
        <w:rPr>
          <w:color w:val="000000" w:themeColor="text1"/>
          <w:u w:color="000000" w:themeColor="text1"/>
        </w:rPr>
        <w:t>Economic Development Authority and the South Carolina State Housing Finance and Development Authority is subject to</w:t>
      </w:r>
      <w:r w:rsidR="00A75065">
        <w:rPr>
          <w:color w:val="000000" w:themeColor="text1"/>
          <w:u w:color="000000" w:themeColor="text1"/>
        </w:rPr>
        <w:t xml:space="preserve"> the review and approval required by this</w:t>
      </w:r>
      <w:r w:rsidRPr="00777A63">
        <w:rPr>
          <w:color w:val="000000" w:themeColor="text1"/>
          <w:u w:color="000000" w:themeColor="text1"/>
        </w:rPr>
        <w:t xml:space="preserve"> provision.  The sixty percent capacity threshold is determined by the revenue indebtedness of the borrower.</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t>(C)</w:t>
      </w:r>
      <w:r w:rsidRPr="00777A63">
        <w:rPr>
          <w:color w:val="000000" w:themeColor="text1"/>
          <w:u w:color="000000" w:themeColor="text1"/>
        </w:rPr>
        <w:tab/>
        <w:t xml:space="preserve">The State Fiscal Accountability Authority shall submit an annual report to the General Assembly and the Joint Bond Review Committee of all outstanding bonded indebtedness related to each </w:t>
      </w:r>
      <w:r w:rsidR="00A75065">
        <w:rPr>
          <w:color w:val="000000" w:themeColor="text1"/>
          <w:u w:color="000000" w:themeColor="text1"/>
        </w:rPr>
        <w:t>quasi</w:t>
      </w:r>
      <w:r w:rsidR="00D93A6E">
        <w:rPr>
          <w:color w:val="000000" w:themeColor="text1"/>
          <w:u w:color="000000" w:themeColor="text1"/>
        </w:rPr>
        <w:noBreakHyphen/>
      </w:r>
      <w:r w:rsidR="00A75065">
        <w:rPr>
          <w:color w:val="000000" w:themeColor="text1"/>
          <w:u w:color="000000" w:themeColor="text1"/>
        </w:rPr>
        <w:t xml:space="preserve">state </w:t>
      </w:r>
      <w:r w:rsidRPr="00777A63">
        <w:rPr>
          <w:color w:val="000000" w:themeColor="text1"/>
          <w:u w:color="000000" w:themeColor="text1"/>
        </w:rPr>
        <w:t>agency.  Each agency is required to provide any assistance requested by the authority</w:t>
      </w:r>
      <w:r w:rsidR="00D93A6E">
        <w:rPr>
          <w:color w:val="000000" w:themeColor="text1"/>
          <w:u w:color="000000" w:themeColor="text1"/>
        </w:rPr>
        <w:t>’</w:t>
      </w:r>
      <w:r w:rsidRPr="00777A63">
        <w:rPr>
          <w:color w:val="000000" w:themeColor="text1"/>
          <w:u w:color="000000" w:themeColor="text1"/>
        </w:rPr>
        <w:t>s executive director.</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t>Section 11</w:t>
      </w:r>
      <w:r w:rsidR="00D93A6E">
        <w:rPr>
          <w:color w:val="000000" w:themeColor="text1"/>
          <w:u w:color="000000" w:themeColor="text1"/>
        </w:rPr>
        <w:noBreakHyphen/>
      </w:r>
      <w:r w:rsidRPr="00777A63">
        <w:rPr>
          <w:color w:val="000000" w:themeColor="text1"/>
          <w:u w:color="000000" w:themeColor="text1"/>
        </w:rPr>
        <w:t>59</w:t>
      </w:r>
      <w:r w:rsidR="00D93A6E">
        <w:rPr>
          <w:color w:val="000000" w:themeColor="text1"/>
          <w:u w:color="000000" w:themeColor="text1"/>
        </w:rPr>
        <w:noBreakHyphen/>
      </w:r>
      <w:r w:rsidRPr="00777A63">
        <w:rPr>
          <w:color w:val="000000" w:themeColor="text1"/>
          <w:u w:color="000000" w:themeColor="text1"/>
        </w:rPr>
        <w:t>50.</w:t>
      </w:r>
      <w:r w:rsidRPr="00777A63">
        <w:rPr>
          <w:color w:val="000000" w:themeColor="text1"/>
          <w:u w:color="000000" w:themeColor="text1"/>
        </w:rPr>
        <w:tab/>
        <w:t>(A)</w:t>
      </w:r>
      <w:r w:rsidRPr="00777A63">
        <w:rPr>
          <w:color w:val="000000" w:themeColor="text1"/>
          <w:u w:color="000000" w:themeColor="text1"/>
        </w:rPr>
        <w:tab/>
        <w:t>By September first of each year, each quasi</w:t>
      </w:r>
      <w:r w:rsidR="00D93A6E">
        <w:rPr>
          <w:color w:val="000000" w:themeColor="text1"/>
          <w:u w:color="000000" w:themeColor="text1"/>
        </w:rPr>
        <w:noBreakHyphen/>
      </w:r>
      <w:r w:rsidRPr="00777A63">
        <w:rPr>
          <w:color w:val="000000" w:themeColor="text1"/>
          <w:u w:color="000000" w:themeColor="text1"/>
        </w:rPr>
        <w:t xml:space="preserve">state agency shall provide an annual report </w:t>
      </w:r>
      <w:r w:rsidR="00A75065">
        <w:rPr>
          <w:color w:val="000000" w:themeColor="text1"/>
          <w:u w:color="000000" w:themeColor="text1"/>
        </w:rPr>
        <w:t>regarding every</w:t>
      </w:r>
      <w:r w:rsidRPr="00777A63">
        <w:rPr>
          <w:color w:val="000000" w:themeColor="text1"/>
          <w:u w:color="000000" w:themeColor="text1"/>
        </w:rPr>
        <w:t xml:space="preserve"> transaction involving an interest in real property and executed during the preceding twelve months, including:</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(1)</w:t>
      </w:r>
      <w:r w:rsidRPr="00777A63">
        <w:rPr>
          <w:color w:val="000000" w:themeColor="text1"/>
          <w:u w:color="000000" w:themeColor="text1"/>
        </w:rPr>
        <w:tab/>
        <w:t>a summary of the key terms of all contracts effectuating or related to such transactions; and</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r>
      <w:r w:rsidRPr="00777A63">
        <w:rPr>
          <w:color w:val="000000" w:themeColor="text1"/>
          <w:u w:color="000000" w:themeColor="text1"/>
        </w:rPr>
        <w:tab/>
        <w:t>(2)</w:t>
      </w:r>
      <w:r w:rsidRPr="00777A63">
        <w:rPr>
          <w:color w:val="000000" w:themeColor="text1"/>
          <w:u w:color="000000" w:themeColor="text1"/>
        </w:rPr>
        <w:tab/>
        <w:t>parties involved in the transaction, including all entities or persons with any type of ownership interest or authority to control.</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t>The State Fiscal Accountability Authority, after review and comment by the Joint Bond Review Committee, may adopt instructions which must be followed by the quasi</w:t>
      </w:r>
      <w:r w:rsidR="00D93A6E">
        <w:rPr>
          <w:color w:val="000000" w:themeColor="text1"/>
          <w:u w:color="000000" w:themeColor="text1"/>
        </w:rPr>
        <w:noBreakHyphen/>
      </w:r>
      <w:r w:rsidRPr="00777A63">
        <w:rPr>
          <w:color w:val="000000" w:themeColor="text1"/>
          <w:u w:color="000000" w:themeColor="text1"/>
        </w:rPr>
        <w:t>state agency that submitted the report required by this subsection.</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t>(B)</w:t>
      </w:r>
      <w:r w:rsidRPr="00777A63">
        <w:rPr>
          <w:color w:val="000000" w:themeColor="text1"/>
          <w:u w:color="000000" w:themeColor="text1"/>
        </w:rPr>
        <w:tab/>
        <w:t>A transfer of any interest in real property, regardless of the value of the transaction, by a quasi</w:t>
      </w:r>
      <w:r w:rsidR="00D93A6E">
        <w:rPr>
          <w:color w:val="000000" w:themeColor="text1"/>
          <w:u w:color="000000" w:themeColor="text1"/>
        </w:rPr>
        <w:noBreakHyphen/>
      </w:r>
      <w:r w:rsidRPr="00777A63">
        <w:rPr>
          <w:color w:val="000000" w:themeColor="text1"/>
          <w:u w:color="000000" w:themeColor="text1"/>
        </w:rPr>
        <w:t>state agency requires review by the Joint Bond Review Committee and approval of the State Fiscal Accountability Authority.</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t>Section 11</w:t>
      </w:r>
      <w:r w:rsidR="00D93A6E">
        <w:rPr>
          <w:color w:val="000000" w:themeColor="text1"/>
          <w:u w:color="000000" w:themeColor="text1"/>
        </w:rPr>
        <w:noBreakHyphen/>
      </w:r>
      <w:r w:rsidRPr="00777A63">
        <w:rPr>
          <w:color w:val="000000" w:themeColor="text1"/>
          <w:u w:color="000000" w:themeColor="text1"/>
        </w:rPr>
        <w:t>59</w:t>
      </w:r>
      <w:r w:rsidR="00D93A6E">
        <w:rPr>
          <w:color w:val="000000" w:themeColor="text1"/>
          <w:u w:color="000000" w:themeColor="text1"/>
        </w:rPr>
        <w:noBreakHyphen/>
      </w:r>
      <w:r w:rsidRPr="00777A63">
        <w:rPr>
          <w:color w:val="000000" w:themeColor="text1"/>
          <w:u w:color="000000" w:themeColor="text1"/>
        </w:rPr>
        <w:t>60.</w:t>
      </w:r>
      <w:r w:rsidRPr="00777A63">
        <w:rPr>
          <w:color w:val="000000" w:themeColor="text1"/>
          <w:u w:color="000000" w:themeColor="text1"/>
        </w:rPr>
        <w:tab/>
        <w:t>A quasi</w:t>
      </w:r>
      <w:r w:rsidR="00D93A6E">
        <w:rPr>
          <w:color w:val="000000" w:themeColor="text1"/>
          <w:u w:color="000000" w:themeColor="text1"/>
        </w:rPr>
        <w:noBreakHyphen/>
      </w:r>
      <w:r w:rsidRPr="00777A63">
        <w:rPr>
          <w:color w:val="000000" w:themeColor="text1"/>
          <w:u w:color="000000" w:themeColor="text1"/>
        </w:rPr>
        <w:t>state agency that participates in the South Carolina Retirement System may not offer or provide any additional retirement program to its employees.  Any monetary bonus, or nonmonetary compensation paid to its employees, regardless of source, must be included in the report required by Section 11</w:t>
      </w:r>
      <w:r w:rsidR="00D93A6E">
        <w:rPr>
          <w:color w:val="000000" w:themeColor="text1"/>
          <w:u w:color="000000" w:themeColor="text1"/>
        </w:rPr>
        <w:noBreakHyphen/>
      </w:r>
      <w:r w:rsidRPr="00777A63">
        <w:rPr>
          <w:color w:val="000000" w:themeColor="text1"/>
          <w:u w:color="000000" w:themeColor="text1"/>
        </w:rPr>
        <w:t>59</w:t>
      </w:r>
      <w:r w:rsidR="00D93A6E">
        <w:rPr>
          <w:color w:val="000000" w:themeColor="text1"/>
          <w:u w:color="000000" w:themeColor="text1"/>
        </w:rPr>
        <w:noBreakHyphen/>
      </w:r>
      <w:r w:rsidRPr="00777A63">
        <w:rPr>
          <w:color w:val="000000" w:themeColor="text1"/>
          <w:u w:color="000000" w:themeColor="text1"/>
        </w:rPr>
        <w:t>30.</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t>Section 11</w:t>
      </w:r>
      <w:r w:rsidR="00D93A6E">
        <w:rPr>
          <w:color w:val="000000" w:themeColor="text1"/>
          <w:u w:color="000000" w:themeColor="text1"/>
        </w:rPr>
        <w:noBreakHyphen/>
      </w:r>
      <w:r w:rsidRPr="00777A63">
        <w:rPr>
          <w:color w:val="000000" w:themeColor="text1"/>
          <w:u w:color="000000" w:themeColor="text1"/>
        </w:rPr>
        <w:t>59</w:t>
      </w:r>
      <w:r w:rsidR="00D93A6E">
        <w:rPr>
          <w:color w:val="000000" w:themeColor="text1"/>
          <w:u w:color="000000" w:themeColor="text1"/>
        </w:rPr>
        <w:noBreakHyphen/>
      </w:r>
      <w:r w:rsidRPr="00777A63">
        <w:rPr>
          <w:color w:val="000000" w:themeColor="text1"/>
          <w:u w:color="000000" w:themeColor="text1"/>
        </w:rPr>
        <w:t>70.</w:t>
      </w:r>
      <w:r w:rsidRPr="00777A63">
        <w:rPr>
          <w:color w:val="000000" w:themeColor="text1"/>
          <w:u w:color="000000" w:themeColor="text1"/>
        </w:rPr>
        <w:tab/>
        <w:t>Each quasi</w:t>
      </w:r>
      <w:r w:rsidR="00D93A6E">
        <w:rPr>
          <w:color w:val="000000" w:themeColor="text1"/>
          <w:u w:color="000000" w:themeColor="text1"/>
        </w:rPr>
        <w:noBreakHyphen/>
      </w:r>
      <w:r w:rsidRPr="00777A63">
        <w:rPr>
          <w:color w:val="000000" w:themeColor="text1"/>
          <w:u w:color="000000" w:themeColor="text1"/>
        </w:rPr>
        <w:t>state agency is a public body for purposes of the Freedom of Information Act.</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7A63">
        <w:rPr>
          <w:color w:val="000000" w:themeColor="text1"/>
          <w:u w:color="000000" w:themeColor="text1"/>
        </w:rPr>
        <w:tab/>
        <w:t>Section 11</w:t>
      </w:r>
      <w:r w:rsidR="00D93A6E">
        <w:rPr>
          <w:color w:val="000000" w:themeColor="text1"/>
          <w:u w:color="000000" w:themeColor="text1"/>
        </w:rPr>
        <w:noBreakHyphen/>
      </w:r>
      <w:r w:rsidRPr="00777A63">
        <w:rPr>
          <w:color w:val="000000" w:themeColor="text1"/>
          <w:u w:color="000000" w:themeColor="text1"/>
        </w:rPr>
        <w:t>59</w:t>
      </w:r>
      <w:r w:rsidR="00D93A6E">
        <w:rPr>
          <w:color w:val="000000" w:themeColor="text1"/>
          <w:u w:color="000000" w:themeColor="text1"/>
        </w:rPr>
        <w:noBreakHyphen/>
      </w:r>
      <w:r w:rsidRPr="00777A63">
        <w:rPr>
          <w:color w:val="000000" w:themeColor="text1"/>
          <w:u w:color="000000" w:themeColor="text1"/>
        </w:rPr>
        <w:t>80.</w:t>
      </w:r>
      <w:r w:rsidRPr="00777A63">
        <w:rPr>
          <w:color w:val="000000" w:themeColor="text1"/>
          <w:u w:color="000000" w:themeColor="text1"/>
        </w:rPr>
        <w:tab/>
        <w:t>The requirements imposed on a quasi</w:t>
      </w:r>
      <w:r w:rsidR="00D93A6E">
        <w:rPr>
          <w:color w:val="000000" w:themeColor="text1"/>
          <w:u w:color="000000" w:themeColor="text1"/>
        </w:rPr>
        <w:noBreakHyphen/>
      </w:r>
      <w:r w:rsidRPr="00777A63">
        <w:rPr>
          <w:color w:val="000000" w:themeColor="text1"/>
          <w:u w:color="000000" w:themeColor="text1"/>
        </w:rPr>
        <w:t>state agency pursuant to this chapter are in addition to any other requirements of law.  If any provision of this chapter conflicts with another provision of law, the provisions of this chapter shall control</w:t>
      </w:r>
      <w:r w:rsidR="00A75065">
        <w:rPr>
          <w:color w:val="000000" w:themeColor="text1"/>
          <w:u w:color="000000" w:themeColor="text1"/>
        </w:rPr>
        <w:t xml:space="preserve"> to the extent of the conflict</w:t>
      </w:r>
      <w:r w:rsidRPr="00777A63">
        <w:rPr>
          <w:color w:val="000000" w:themeColor="text1"/>
          <w:u w:color="000000" w:themeColor="text1"/>
        </w:rPr>
        <w:t>.”</w:t>
      </w:r>
    </w:p>
    <w:p w:rsidR="00946CA7" w:rsidRPr="00777A63"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BC4" w:rsidRDefault="00946CA7" w:rsidP="00946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7A63">
        <w:rPr>
          <w:color w:val="000000" w:themeColor="text1"/>
          <w:u w:color="000000" w:themeColor="text1"/>
        </w:rPr>
        <w:t>SECTION</w:t>
      </w:r>
      <w:r w:rsidRPr="00777A63">
        <w:rPr>
          <w:color w:val="000000" w:themeColor="text1"/>
          <w:u w:color="000000" w:themeColor="text1"/>
        </w:rPr>
        <w:tab/>
        <w:t>2.</w:t>
      </w:r>
      <w:r w:rsidRPr="00777A63">
        <w:rPr>
          <w:color w:val="000000" w:themeColor="text1"/>
          <w:u w:color="000000" w:themeColor="text1"/>
        </w:rPr>
        <w:tab/>
        <w:t>This act takes effect upon approval by the Governor.</w:t>
      </w:r>
    </w:p>
    <w:p w:rsidR="00792B18" w:rsidRDefault="00D93A6E" w:rsidP="00622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7239" w:rsidRDefault="00AB7239" w:rsidP="00AB7239">
      <w:pPr>
        <w:suppressAutoHyphens/>
      </w:pPr>
    </w:p>
    <w:sectPr w:rsidR="00AB7239" w:rsidSect="00AB723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1BC4" w:rsidRDefault="004B1BC4" w:rsidP="009F0C77">
      <w:r>
        <w:separator/>
      </w:r>
    </w:p>
  </w:endnote>
  <w:endnote w:type="continuationSeparator" w:id="0">
    <w:p w:rsidR="004B1BC4" w:rsidRDefault="004B1B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9BF5CF3-8B05-4E1F-8041-00A886C11F0A}"/>
    <w:embedBold r:id="rId2" w:fontKey="{5B5536C5-E089-47D0-83E1-3929614D6A53}"/>
  </w:font>
  <w:font w:name="Calibri">
    <w:panose1 w:val="020F0502020204030204"/>
    <w:charset w:val="00"/>
    <w:family w:val="swiss"/>
    <w:pitch w:val="variable"/>
    <w:sig w:usb0="E0002EFF" w:usb1="C000247B" w:usb2="00000009" w:usb3="00000000" w:csb0="000001FF" w:csb1="00000000"/>
    <w:embedRegular r:id="rId3" w:fontKey="{6A8649ED-F213-44BE-AE00-F614CCB550D1}"/>
  </w:font>
  <w:font w:name="Segoe UI">
    <w:panose1 w:val="020B0502040204020203"/>
    <w:charset w:val="00"/>
    <w:family w:val="swiss"/>
    <w:pitch w:val="variable"/>
    <w:sig w:usb0="E4002EFF" w:usb1="C000E47F" w:usb2="00000009" w:usb3="00000000" w:csb0="000001FF" w:csb1="00000000"/>
    <w:embedRegular r:id="rId4" w:fontKey="{F45E8247-F8E7-4C9B-BC8D-150137E88898}"/>
  </w:font>
  <w:font w:name="Cambria">
    <w:panose1 w:val="02040503050406030204"/>
    <w:charset w:val="00"/>
    <w:family w:val="roman"/>
    <w:pitch w:val="variable"/>
    <w:sig w:usb0="E00006FF" w:usb1="420024FF" w:usb2="02000000" w:usb3="00000000" w:csb0="0000019F" w:csb1="00000000"/>
    <w:embedRegular r:id="rId5" w:fontKey="{FAF4715F-E594-44FB-B7D7-E3DFEF444F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7239" w:rsidRPr="00B70D35" w:rsidRDefault="00AB7239" w:rsidP="00B70D35">
    <w:pPr>
      <w:pStyle w:val="Footer"/>
      <w:tabs>
        <w:tab w:val="clear" w:pos="4680"/>
        <w:tab w:val="clear" w:pos="9360"/>
        <w:tab w:val="center" w:pos="2995"/>
      </w:tabs>
      <w:spacing w:before="120"/>
    </w:pPr>
    <w:r>
      <w:t>[681]</w:t>
    </w:r>
    <w:r>
      <w:tab/>
    </w:r>
    <w:r>
      <w:fldChar w:fldCharType="begin"/>
    </w:r>
    <w:r>
      <w:instrText xml:space="preserve"> PAGE  \* MERGEFORMAT </w:instrText>
    </w:r>
    <w:r>
      <w:fldChar w:fldCharType="separate"/>
    </w:r>
    <w:r w:rsidR="003056F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1BC4" w:rsidRDefault="004B1BC4" w:rsidP="009F0C77">
      <w:r>
        <w:separator/>
      </w:r>
    </w:p>
  </w:footnote>
  <w:footnote w:type="continuationSeparator" w:id="0">
    <w:p w:rsidR="004B1BC4" w:rsidRDefault="004B1B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10DG21"/>
    <w:docVar w:name="CoverBillType" w:val="b"/>
    <w:docVar w:name="DocPath" w:val="L:\Council\bills\NBD\11210DG21.DOCX"/>
    <w:docVar w:name="dvBillNumber" w:val="681"/>
    <w:docVar w:name="dvBillNumberPrefix" w:val="S. "/>
    <w:docVar w:name="dvOriginalBody" w:val="Senate"/>
    <w:docVar w:name="dvSteno" w:val="NBD"/>
    <w:docVar w:name="NameofBody" w:val="s"/>
    <w:docVar w:name="vGroup2" w:val="Council"/>
  </w:docVars>
  <w:rsids>
    <w:rsidRoot w:val="004B1BC4"/>
    <w:rsid w:val="000211FD"/>
    <w:rsid w:val="000263D9"/>
    <w:rsid w:val="00026C9A"/>
    <w:rsid w:val="000351A5"/>
    <w:rsid w:val="00063763"/>
    <w:rsid w:val="000965A1"/>
    <w:rsid w:val="000C487D"/>
    <w:rsid w:val="000C496C"/>
    <w:rsid w:val="000E1785"/>
    <w:rsid w:val="000F39F2"/>
    <w:rsid w:val="000F4482"/>
    <w:rsid w:val="001023A4"/>
    <w:rsid w:val="0010776B"/>
    <w:rsid w:val="00133E66"/>
    <w:rsid w:val="00134ACF"/>
    <w:rsid w:val="00144E15"/>
    <w:rsid w:val="0016380A"/>
    <w:rsid w:val="001A4A62"/>
    <w:rsid w:val="001A681E"/>
    <w:rsid w:val="001D08F2"/>
    <w:rsid w:val="002037CA"/>
    <w:rsid w:val="002047A2"/>
    <w:rsid w:val="002321B6"/>
    <w:rsid w:val="0023696B"/>
    <w:rsid w:val="00250967"/>
    <w:rsid w:val="002759C5"/>
    <w:rsid w:val="00277DEE"/>
    <w:rsid w:val="00280D88"/>
    <w:rsid w:val="00294ABE"/>
    <w:rsid w:val="002A3EB4"/>
    <w:rsid w:val="003056FF"/>
    <w:rsid w:val="00314B99"/>
    <w:rsid w:val="00325348"/>
    <w:rsid w:val="003758D3"/>
    <w:rsid w:val="00393688"/>
    <w:rsid w:val="003D411E"/>
    <w:rsid w:val="003E3C1E"/>
    <w:rsid w:val="003E6148"/>
    <w:rsid w:val="003E7D04"/>
    <w:rsid w:val="00400EAA"/>
    <w:rsid w:val="0041760A"/>
    <w:rsid w:val="004203D7"/>
    <w:rsid w:val="00423F46"/>
    <w:rsid w:val="00461588"/>
    <w:rsid w:val="004809EE"/>
    <w:rsid w:val="004B1BC4"/>
    <w:rsid w:val="004B2A8B"/>
    <w:rsid w:val="00511EE9"/>
    <w:rsid w:val="00521E00"/>
    <w:rsid w:val="00577C6C"/>
    <w:rsid w:val="0058501B"/>
    <w:rsid w:val="005A6A53"/>
    <w:rsid w:val="005C5AC4"/>
    <w:rsid w:val="0061228A"/>
    <w:rsid w:val="006215AA"/>
    <w:rsid w:val="0062201F"/>
    <w:rsid w:val="006340D9"/>
    <w:rsid w:val="00643B8E"/>
    <w:rsid w:val="00653ECC"/>
    <w:rsid w:val="00665EBC"/>
    <w:rsid w:val="00680479"/>
    <w:rsid w:val="00680932"/>
    <w:rsid w:val="0069470D"/>
    <w:rsid w:val="006A476C"/>
    <w:rsid w:val="006C6A93"/>
    <w:rsid w:val="006E02F9"/>
    <w:rsid w:val="006F3F76"/>
    <w:rsid w:val="006F580E"/>
    <w:rsid w:val="0071456A"/>
    <w:rsid w:val="00753C04"/>
    <w:rsid w:val="00756946"/>
    <w:rsid w:val="00757F80"/>
    <w:rsid w:val="00771EEC"/>
    <w:rsid w:val="0077238B"/>
    <w:rsid w:val="00786819"/>
    <w:rsid w:val="00792B18"/>
    <w:rsid w:val="007A325A"/>
    <w:rsid w:val="007C3099"/>
    <w:rsid w:val="007C7447"/>
    <w:rsid w:val="007E72BE"/>
    <w:rsid w:val="007F1523"/>
    <w:rsid w:val="007F509E"/>
    <w:rsid w:val="007F5799"/>
    <w:rsid w:val="007F6947"/>
    <w:rsid w:val="00834A12"/>
    <w:rsid w:val="00872729"/>
    <w:rsid w:val="008F4429"/>
    <w:rsid w:val="00932670"/>
    <w:rsid w:val="009352BB"/>
    <w:rsid w:val="00946CA7"/>
    <w:rsid w:val="009650B2"/>
    <w:rsid w:val="00975E76"/>
    <w:rsid w:val="00990668"/>
    <w:rsid w:val="009B397B"/>
    <w:rsid w:val="009F0C77"/>
    <w:rsid w:val="009F4DD1"/>
    <w:rsid w:val="00A64E80"/>
    <w:rsid w:val="00A741D9"/>
    <w:rsid w:val="00A75065"/>
    <w:rsid w:val="00A85589"/>
    <w:rsid w:val="00A9741D"/>
    <w:rsid w:val="00AB0576"/>
    <w:rsid w:val="00AB7239"/>
    <w:rsid w:val="00AD4B17"/>
    <w:rsid w:val="00B26FA6"/>
    <w:rsid w:val="00B70D35"/>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3A6E"/>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62DAE"/>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C065C9-C92B-4430-924D-0D5D6EAD5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62D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DAE"/>
    <w:rPr>
      <w:rFonts w:ascii="Segoe UI" w:eastAsia="Times New Roman" w:hAnsi="Segoe UI" w:cs="Segoe UI"/>
      <w:sz w:val="18"/>
      <w:szCs w:val="18"/>
    </w:rPr>
  </w:style>
  <w:style w:type="character" w:styleId="Hyperlink">
    <w:name w:val="Hyperlink"/>
    <w:basedOn w:val="DefaultParagraphFont"/>
    <w:uiPriority w:val="99"/>
    <w:unhideWhenUsed/>
    <w:rsid w:val="00AB72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3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681_202103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8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7D750-6A8B-4056-BA79-5A172E3D8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1079</Words>
  <Characters>6153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681: Subject not yet available - South Carolina Legislature Online</dc:title>
  <dc:subject/>
  <dc:creator>Niki Downey</dc:creator>
  <cp:keywords/>
  <dc:description/>
  <cp:lastModifiedBy>S Wilson</cp:lastModifiedBy>
  <cp:revision>2</cp:revision>
  <cp:lastPrinted>2021-03-17T16:17:00Z</cp:lastPrinted>
  <dcterms:created xsi:type="dcterms:W3CDTF">2021-03-18T14:00:00Z</dcterms:created>
  <dcterms:modified xsi:type="dcterms:W3CDTF">2021-03-18T14:00:00Z</dcterms:modified>
</cp:coreProperties>
</file>