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2AB" w:rsidRDefault="003722AB" w:rsidP="003722AB">
      <w:pPr>
        <w:widowControl w:val="0"/>
        <w:jc w:val="center"/>
      </w:pPr>
      <w:r w:rsidRPr="003722AB">
        <w:rPr>
          <w:b/>
        </w:rPr>
        <w:t>South Carolina General Assembly</w:t>
      </w:r>
    </w:p>
    <w:p w:rsidR="003722AB" w:rsidRDefault="003722AB" w:rsidP="003722AB">
      <w:pPr>
        <w:widowControl w:val="0"/>
        <w:jc w:val="center"/>
      </w:pPr>
      <w:r>
        <w:t>124th Session, 2021-2022</w:t>
      </w:r>
    </w:p>
    <w:p w:rsidR="003722AB" w:rsidRDefault="003722AB" w:rsidP="003722AB">
      <w:pPr>
        <w:widowControl w:val="0"/>
      </w:pPr>
    </w:p>
    <w:p w:rsidR="003722AB" w:rsidRDefault="003722AB" w:rsidP="003722AB">
      <w:pPr>
        <w:widowControl w:val="0"/>
        <w:rPr>
          <w:b/>
        </w:rPr>
      </w:pPr>
      <w:r w:rsidRPr="003722AB">
        <w:rPr>
          <w:b/>
        </w:rPr>
        <w:t>S.</w:t>
      </w:r>
      <w:r>
        <w:rPr>
          <w:b/>
        </w:rPr>
        <w:t xml:space="preserve"> </w:t>
      </w:r>
      <w:r w:rsidRPr="003722AB">
        <w:rPr>
          <w:b/>
        </w:rPr>
        <w:t>94</w:t>
      </w:r>
    </w:p>
    <w:p w:rsidR="003722AB" w:rsidRDefault="003722AB" w:rsidP="003722AB">
      <w:pPr>
        <w:widowControl w:val="0"/>
        <w:rPr>
          <w:b/>
        </w:rPr>
      </w:pPr>
    </w:p>
    <w:p w:rsidR="003722AB" w:rsidRDefault="003722AB" w:rsidP="003722AB">
      <w:pPr>
        <w:widowControl w:val="0"/>
      </w:pPr>
      <w:r w:rsidRPr="003722AB">
        <w:rPr>
          <w:b/>
        </w:rPr>
        <w:t>STATUS INFORMATION</w:t>
      </w:r>
    </w:p>
    <w:p w:rsidR="003722AB" w:rsidRDefault="003722AB" w:rsidP="003722AB">
      <w:pPr>
        <w:widowControl w:val="0"/>
      </w:pPr>
    </w:p>
    <w:p w:rsidR="003722AB" w:rsidRDefault="003722AB" w:rsidP="003722AB">
      <w:pPr>
        <w:widowControl w:val="0"/>
      </w:pPr>
      <w:r>
        <w:t>General Bill</w:t>
      </w:r>
    </w:p>
    <w:p w:rsidR="003722AB" w:rsidRDefault="001B30F5" w:rsidP="003722AB">
      <w:pPr>
        <w:widowControl w:val="0"/>
      </w:pPr>
      <w:r>
        <w:t>Sponsors: Senators Malloy and Adams</w:t>
      </w:r>
    </w:p>
    <w:p w:rsidR="003722AB" w:rsidRDefault="003722AB" w:rsidP="003722AB">
      <w:pPr>
        <w:widowControl w:val="0"/>
      </w:pPr>
      <w:r>
        <w:t>Document Path: l:\s-res\gm\027ptsd.kmm.gm.docx</w:t>
      </w:r>
    </w:p>
    <w:p w:rsidR="002F20DA" w:rsidRDefault="00FA78A8" w:rsidP="003722AB">
      <w:pPr>
        <w:widowControl w:val="0"/>
      </w:pPr>
      <w:r>
        <w:t>Companion/Similar bill(s): 282, 402</w:t>
      </w:r>
    </w:p>
    <w:p w:rsidR="003722AB" w:rsidRDefault="003722AB" w:rsidP="003722AB">
      <w:pPr>
        <w:widowControl w:val="0"/>
      </w:pPr>
    </w:p>
    <w:p w:rsidR="001E2C5A" w:rsidRDefault="001E2C5A" w:rsidP="003722AB">
      <w:pPr>
        <w:widowControl w:val="0"/>
      </w:pPr>
      <w:r>
        <w:t>Introduced in the Senate on January 12, 2021</w:t>
      </w:r>
    </w:p>
    <w:p w:rsidR="001E2C5A" w:rsidRDefault="001E2C5A" w:rsidP="003722AB">
      <w:pPr>
        <w:widowControl w:val="0"/>
      </w:pPr>
      <w:r>
        <w:t>Currently residing in the Senate</w:t>
      </w:r>
    </w:p>
    <w:p w:rsidR="001E2C5A" w:rsidRDefault="001E2C5A" w:rsidP="003722AB">
      <w:pPr>
        <w:widowControl w:val="0"/>
      </w:pPr>
    </w:p>
    <w:p w:rsidR="003722AB" w:rsidRDefault="004E388A" w:rsidP="003722AB">
      <w:pPr>
        <w:widowControl w:val="0"/>
      </w:pPr>
      <w:r>
        <w:t>Summary: Workers' Comp</w:t>
      </w:r>
    </w:p>
    <w:p w:rsidR="003722AB" w:rsidRDefault="003722AB" w:rsidP="003722AB">
      <w:pPr>
        <w:widowControl w:val="0"/>
      </w:pPr>
    </w:p>
    <w:p w:rsidR="003722AB" w:rsidRDefault="003722AB" w:rsidP="003722AB">
      <w:pPr>
        <w:widowControl w:val="0"/>
      </w:pPr>
    </w:p>
    <w:p w:rsidR="003722AB" w:rsidRDefault="003722AB" w:rsidP="003722AB">
      <w:pPr>
        <w:widowControl w:val="0"/>
        <w:tabs>
          <w:tab w:val="center" w:pos="590"/>
          <w:tab w:val="center" w:pos="1440"/>
          <w:tab w:val="left" w:pos="1872"/>
          <w:tab w:val="left" w:pos="9187"/>
        </w:tabs>
      </w:pPr>
      <w:r w:rsidRPr="003722AB">
        <w:rPr>
          <w:b/>
        </w:rPr>
        <w:t>HISTORY OF LEGISLATIVE ACTIONS</w:t>
      </w:r>
    </w:p>
    <w:p w:rsidR="003722AB" w:rsidRDefault="003722AB" w:rsidP="003722AB">
      <w:pPr>
        <w:widowControl w:val="0"/>
        <w:tabs>
          <w:tab w:val="center" w:pos="590"/>
          <w:tab w:val="center" w:pos="1440"/>
          <w:tab w:val="left" w:pos="1872"/>
          <w:tab w:val="left" w:pos="9187"/>
        </w:tabs>
      </w:pPr>
    </w:p>
    <w:p w:rsidR="003722AB" w:rsidRPr="003722AB" w:rsidRDefault="003722AB" w:rsidP="003722AB">
      <w:pPr>
        <w:widowControl w:val="0"/>
        <w:tabs>
          <w:tab w:val="center" w:pos="590"/>
          <w:tab w:val="center" w:pos="1440"/>
          <w:tab w:val="left" w:pos="1872"/>
          <w:tab w:val="left" w:pos="9187"/>
        </w:tabs>
      </w:pPr>
      <w:r w:rsidRPr="003722AB">
        <w:rPr>
          <w:u w:val="single"/>
        </w:rPr>
        <w:tab/>
        <w:t>Date</w:t>
      </w:r>
      <w:r w:rsidRPr="003722AB">
        <w:rPr>
          <w:u w:val="single"/>
        </w:rPr>
        <w:tab/>
        <w:t>Body</w:t>
      </w:r>
      <w:r w:rsidRPr="003722AB">
        <w:rPr>
          <w:u w:val="single"/>
        </w:rPr>
        <w:tab/>
        <w:t>Action Description with journal page number</w:t>
      </w:r>
      <w:r w:rsidRPr="003722AB">
        <w:rPr>
          <w:u w:val="single"/>
        </w:rPr>
        <w:tab/>
      </w:r>
    </w:p>
    <w:p w:rsidR="00AA44E2" w:rsidRDefault="00AA44E2" w:rsidP="00AA44E2">
      <w:pPr>
        <w:widowControl w:val="0"/>
        <w:tabs>
          <w:tab w:val="right" w:pos="1008"/>
          <w:tab w:val="left" w:pos="1152"/>
          <w:tab w:val="left" w:pos="1872"/>
          <w:tab w:val="left" w:pos="9187"/>
        </w:tabs>
        <w:ind w:left="2088" w:hanging="2088"/>
      </w:pPr>
      <w:r>
        <w:tab/>
        <w:t>12/9/2020</w:t>
      </w:r>
      <w:r>
        <w:tab/>
        <w:t>Senate</w:t>
      </w:r>
      <w:r>
        <w:tab/>
        <w:t>Prefiled</w:t>
      </w:r>
    </w:p>
    <w:p w:rsidR="00AA44E2" w:rsidRDefault="00AA44E2" w:rsidP="00AA44E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E4BC4">
        <w:rPr>
          <w:b/>
        </w:rPr>
        <w:t>Judiciary</w:t>
      </w:r>
    </w:p>
    <w:p w:rsidR="00AA44E2" w:rsidRDefault="00AA44E2" w:rsidP="00AA44E2">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7E4BC4">
          <w:rPr>
            <w:rStyle w:val="Hyperlink"/>
          </w:rPr>
          <w:t>Senate Journal</w:t>
        </w:r>
        <w:r w:rsidRPr="007E4BC4">
          <w:rPr>
            <w:rStyle w:val="Hyperlink"/>
          </w:rPr>
          <w:noBreakHyphen/>
          <w:t>page 169</w:t>
        </w:r>
      </w:hyperlink>
      <w:r>
        <w:t>)</w:t>
      </w:r>
    </w:p>
    <w:p w:rsidR="00AA44E2" w:rsidRDefault="00AA44E2" w:rsidP="00AA44E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E4BC4">
        <w:rPr>
          <w:b/>
        </w:rPr>
        <w:t>Judiciary</w:t>
      </w:r>
      <w:r>
        <w:t xml:space="preserve"> (</w:t>
      </w:r>
      <w:hyperlink r:id="rId7" w:history="1">
        <w:r w:rsidRPr="007E4BC4">
          <w:rPr>
            <w:rStyle w:val="Hyperlink"/>
          </w:rPr>
          <w:t>Senate Journal</w:t>
        </w:r>
        <w:r w:rsidRPr="007E4BC4">
          <w:rPr>
            <w:rStyle w:val="Hyperlink"/>
          </w:rPr>
          <w:noBreakHyphen/>
          <w:t>page 169</w:t>
        </w:r>
      </w:hyperlink>
      <w:r>
        <w:t>)</w:t>
      </w:r>
    </w:p>
    <w:p w:rsidR="00AA44E2" w:rsidRDefault="00AA44E2" w:rsidP="00AA44E2">
      <w:pPr>
        <w:widowControl w:val="0"/>
        <w:tabs>
          <w:tab w:val="right" w:pos="1008"/>
          <w:tab w:val="left" w:pos="1152"/>
          <w:tab w:val="left" w:pos="1872"/>
          <w:tab w:val="left" w:pos="9187"/>
        </w:tabs>
        <w:ind w:left="2088" w:hanging="2088"/>
      </w:pPr>
      <w:r>
        <w:tab/>
        <w:t>2/16/2021</w:t>
      </w:r>
      <w:r>
        <w:tab/>
        <w:t>Senate</w:t>
      </w:r>
      <w:r>
        <w:tab/>
        <w:t>Referred to Subcommittee:  Young (ch), Sabb, Matthews, Garrett, M.Johnson</w:t>
      </w:r>
    </w:p>
    <w:p w:rsidR="00AA44E2" w:rsidRDefault="00AA44E2" w:rsidP="00AA44E2">
      <w:pPr>
        <w:widowControl w:val="0"/>
        <w:tabs>
          <w:tab w:val="right" w:pos="1008"/>
          <w:tab w:val="left" w:pos="1152"/>
          <w:tab w:val="left" w:pos="1872"/>
          <w:tab w:val="left" w:pos="9187"/>
        </w:tabs>
        <w:ind w:left="2088" w:hanging="2088"/>
      </w:pPr>
      <w:r>
        <w:tab/>
        <w:t>3/10/2021</w:t>
      </w:r>
      <w:r>
        <w:tab/>
        <w:t>Senate</w:t>
      </w:r>
      <w:r>
        <w:tab/>
        <w:t xml:space="preserve">Committee report: Favorable with amendment </w:t>
      </w:r>
      <w:r w:rsidRPr="007E4BC4">
        <w:rPr>
          <w:b/>
        </w:rPr>
        <w:t>Judiciary</w:t>
      </w:r>
      <w:r>
        <w:t xml:space="preserve"> (</w:t>
      </w:r>
      <w:hyperlink r:id="rId8" w:history="1">
        <w:r w:rsidRPr="007E4BC4">
          <w:rPr>
            <w:rStyle w:val="Hyperlink"/>
          </w:rPr>
          <w:t>Senate Journal</w:t>
        </w:r>
        <w:r w:rsidRPr="007E4BC4">
          <w:rPr>
            <w:rStyle w:val="Hyperlink"/>
          </w:rPr>
          <w:noBreakHyphen/>
          <w:t>page 6</w:t>
        </w:r>
      </w:hyperlink>
      <w:r>
        <w:t>)</w:t>
      </w:r>
    </w:p>
    <w:p w:rsidR="00AA44E2" w:rsidRDefault="00AA44E2" w:rsidP="00AA44E2">
      <w:pPr>
        <w:widowControl w:val="0"/>
        <w:tabs>
          <w:tab w:val="right" w:pos="1008"/>
          <w:tab w:val="left" w:pos="1152"/>
          <w:tab w:val="left" w:pos="1872"/>
          <w:tab w:val="left" w:pos="9187"/>
        </w:tabs>
        <w:ind w:left="2088" w:hanging="2088"/>
      </w:pPr>
      <w:r>
        <w:tab/>
        <w:t>3/11/2021</w:t>
      </w:r>
      <w:r>
        <w:tab/>
      </w:r>
      <w:r>
        <w:tab/>
        <w:t>Scrivener's error corrected</w:t>
      </w:r>
    </w:p>
    <w:p w:rsidR="00AA44E2" w:rsidRDefault="00AA44E2" w:rsidP="00AA44E2">
      <w:pPr>
        <w:widowControl w:val="0"/>
        <w:tabs>
          <w:tab w:val="right" w:pos="1008"/>
          <w:tab w:val="left" w:pos="1152"/>
          <w:tab w:val="left" w:pos="1872"/>
          <w:tab w:val="left" w:pos="9187"/>
        </w:tabs>
        <w:ind w:left="2088" w:hanging="2088"/>
      </w:pPr>
    </w:p>
    <w:p w:rsidR="003722AB" w:rsidRDefault="003722AB" w:rsidP="003722AB">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3722AB">
          <w:rPr>
            <w:rStyle w:val="Hyperlink"/>
          </w:rPr>
          <w:t>legislative information</w:t>
        </w:r>
      </w:hyperlink>
      <w:r>
        <w:t xml:space="preserve"> at the website</w:t>
      </w:r>
    </w:p>
    <w:p w:rsidR="003722AB" w:rsidRDefault="003722AB" w:rsidP="003722AB">
      <w:pPr>
        <w:widowControl w:val="0"/>
        <w:tabs>
          <w:tab w:val="right" w:pos="1008"/>
          <w:tab w:val="left" w:pos="1152"/>
          <w:tab w:val="left" w:pos="1872"/>
          <w:tab w:val="left" w:pos="9187"/>
        </w:tabs>
        <w:ind w:left="2088" w:hanging="2088"/>
      </w:pPr>
    </w:p>
    <w:p w:rsidR="003722AB" w:rsidRPr="003722AB" w:rsidRDefault="003722AB" w:rsidP="003722AB">
      <w:pPr>
        <w:widowControl w:val="0"/>
        <w:tabs>
          <w:tab w:val="right" w:pos="1008"/>
          <w:tab w:val="left" w:pos="1152"/>
          <w:tab w:val="left" w:pos="1872"/>
          <w:tab w:val="left" w:pos="9187"/>
        </w:tabs>
        <w:ind w:left="2088" w:hanging="2088"/>
      </w:pPr>
    </w:p>
    <w:p w:rsidR="003722AB" w:rsidRDefault="003722AB" w:rsidP="003722AB">
      <w:pPr>
        <w:widowControl w:val="0"/>
      </w:pPr>
      <w:r w:rsidRPr="003722AB">
        <w:rPr>
          <w:b/>
        </w:rPr>
        <w:t>VERSIONS OF THIS BILL</w:t>
      </w:r>
    </w:p>
    <w:p w:rsidR="003722AB" w:rsidRDefault="003722AB" w:rsidP="003722AB">
      <w:pPr>
        <w:widowControl w:val="0"/>
      </w:pPr>
    </w:p>
    <w:p w:rsidR="003722AB" w:rsidRDefault="00C04098" w:rsidP="003722AB">
      <w:pPr>
        <w:widowControl w:val="0"/>
      </w:pPr>
      <w:hyperlink r:id="rId10" w:history="1">
        <w:r w:rsidR="003722AB">
          <w:rPr>
            <w:rStyle w:val="Hyperlink"/>
          </w:rPr>
          <w:t>12/9/2020</w:t>
        </w:r>
      </w:hyperlink>
    </w:p>
    <w:p w:rsidR="003722AB" w:rsidRDefault="00C04098" w:rsidP="003722AB">
      <w:hyperlink r:id="rId11" w:history="1">
        <w:r w:rsidR="008375A6" w:rsidRPr="008375A6">
          <w:rPr>
            <w:rStyle w:val="Hyperlink"/>
          </w:rPr>
          <w:t>3/10/2021</w:t>
        </w:r>
      </w:hyperlink>
    </w:p>
    <w:p w:rsidR="008375A6" w:rsidRDefault="00C04098" w:rsidP="003722AB">
      <w:hyperlink r:id="rId12" w:history="1">
        <w:r w:rsidR="000871C5" w:rsidRPr="000871C5">
          <w:rPr>
            <w:rStyle w:val="Hyperlink"/>
          </w:rPr>
          <w:t>3/11/2021</w:t>
        </w:r>
      </w:hyperlink>
    </w:p>
    <w:p w:rsidR="000871C5" w:rsidRDefault="000871C5" w:rsidP="003722AB"/>
    <w:p w:rsidR="003722AB" w:rsidRDefault="003722AB" w:rsidP="003722AB">
      <w:pPr>
        <w:sectPr w:rsidR="003722AB" w:rsidSect="003722AB">
          <w:pgSz w:w="12240" w:h="15840" w:code="1"/>
          <w:pgMar w:top="1080" w:right="1440" w:bottom="1080" w:left="1440" w:header="720" w:footer="720" w:gutter="0"/>
          <w:cols w:space="720"/>
          <w:noEndnote/>
          <w:docGrid w:linePitch="360"/>
        </w:sectPr>
      </w:pP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0871C5" w:rsidRPr="00DC4B4C"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2021</w:t>
      </w: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Pr="00895400" w:rsidRDefault="000871C5" w:rsidP="00895400">
      <w:pPr>
        <w:tabs>
          <w:tab w:val="right" w:pos="5933"/>
        </w:tabs>
        <w:suppressAutoHyphens/>
        <w:jc w:val="both"/>
        <w:rPr>
          <w:rFonts w:eastAsia="Times New Roman"/>
        </w:rPr>
      </w:pPr>
      <w:r>
        <w:rPr>
          <w:rFonts w:eastAsia="Times New Roman"/>
        </w:rPr>
        <w:tab/>
      </w:r>
      <w:r>
        <w:rPr>
          <w:rFonts w:eastAsia="Times New Roman"/>
          <w:b/>
          <w:sz w:val="36"/>
        </w:rPr>
        <w:t>S. 94</w:t>
      </w: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and Adams</w:t>
      </w: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Default="000871C5" w:rsidP="00EA6602">
      <w:pPr>
        <w:tabs>
          <w:tab w:val="right" w:pos="5933"/>
        </w:tabs>
        <w:suppressAutoHyphens/>
        <w:jc w:val="both"/>
        <w:rPr>
          <w:rFonts w:eastAsia="Times New Roman"/>
        </w:rPr>
      </w:pPr>
      <w:r>
        <w:rPr>
          <w:rFonts w:eastAsia="Times New Roman"/>
        </w:rPr>
        <w:t>S. Printed 3/10/21--S.</w:t>
      </w:r>
      <w:r>
        <w:rPr>
          <w:rFonts w:eastAsia="Times New Roman"/>
        </w:rPr>
        <w:tab/>
        <w:t>[SEC 3/11/21 1:17 PM]</w:t>
      </w: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0871C5" w:rsidRPr="00895400"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Pr="00895400"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94) </w:t>
      </w:r>
      <w:r w:rsidRPr="00895400">
        <w:t>to amen</w:t>
      </w:r>
      <w:r>
        <w:t>d Section 42</w:t>
      </w:r>
      <w:r>
        <w:noBreakHyphen/>
        <w:t>1</w:t>
      </w:r>
      <w:r>
        <w:noBreakHyphen/>
        <w:t>160 of the 1976 C</w:t>
      </w:r>
      <w:r w:rsidRPr="00895400">
        <w:t>ode, relating to</w:t>
      </w:r>
      <w:r>
        <w:t xml:space="preserve"> injury and personal injury in w</w:t>
      </w:r>
      <w:r w:rsidRPr="00895400">
        <w:t>orkers’ compensation, to provide that a limitation on stress, mental injuries</w:t>
      </w:r>
      <w:r>
        <w:rPr>
          <w:rFonts w:eastAsia="Times New Roman"/>
        </w:rPr>
        <w:t>, etc., respectfully</w:t>
      </w:r>
    </w:p>
    <w:p w:rsidR="000871C5" w:rsidRPr="00895400"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Amend the bill, as and if amended, by striking all after the enacting words and inserting therein the following:</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w:t>
      </w:r>
      <w:r w:rsidRPr="0093690D">
        <w:rPr>
          <w:rFonts w:eastAsia="Times New Roman"/>
          <w:snapToGrid w:val="0"/>
          <w:szCs w:val="20"/>
        </w:rPr>
        <w:tab/>
      </w:r>
      <w:r w:rsidRPr="0093690D">
        <w:rPr>
          <w:rFonts w:eastAsia="Times New Roman"/>
          <w:snapToGrid w:val="0"/>
          <w:szCs w:val="20"/>
        </w:rPr>
        <w:tab/>
        <w:t>SECTION</w:t>
      </w:r>
      <w:r w:rsidRPr="0093690D">
        <w:rPr>
          <w:rFonts w:eastAsia="Times New Roman"/>
          <w:snapToGrid w:val="0"/>
          <w:szCs w:val="20"/>
        </w:rPr>
        <w:tab/>
        <w:t>1.</w:t>
      </w:r>
      <w:r w:rsidRPr="0093690D">
        <w:rPr>
          <w:rFonts w:eastAsia="Times New Roman"/>
          <w:snapToGrid w:val="0"/>
          <w:szCs w:val="20"/>
        </w:rPr>
        <w:tab/>
        <w:t>Section 42</w:t>
      </w:r>
      <w:r w:rsidRPr="0093690D">
        <w:rPr>
          <w:rFonts w:eastAsia="Times New Roman"/>
          <w:snapToGrid w:val="0"/>
          <w:szCs w:val="20"/>
        </w:rPr>
        <w:noBreakHyphen/>
        <w:t>1</w:t>
      </w:r>
      <w:r w:rsidRPr="0093690D">
        <w:rPr>
          <w:rFonts w:eastAsia="Times New Roman"/>
          <w:snapToGrid w:val="0"/>
          <w:szCs w:val="20"/>
        </w:rPr>
        <w:noBreakHyphen/>
        <w:t>160 of the 1976 Code is amended to read:</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“Section 42</w:t>
      </w:r>
      <w:r w:rsidRPr="0093690D">
        <w:rPr>
          <w:rFonts w:eastAsia="Times New Roman"/>
          <w:snapToGrid w:val="0"/>
          <w:szCs w:val="20"/>
        </w:rPr>
        <w:noBreakHyphen/>
        <w:t>1</w:t>
      </w:r>
      <w:r w:rsidRPr="0093690D">
        <w:rPr>
          <w:rFonts w:eastAsia="Times New Roman"/>
          <w:snapToGrid w:val="0"/>
          <w:szCs w:val="20"/>
        </w:rPr>
        <w:noBreakHyphen/>
        <w:t>160.</w:t>
      </w:r>
      <w:r w:rsidRPr="0093690D">
        <w:rPr>
          <w:rFonts w:eastAsia="Times New Roman"/>
          <w:snapToGrid w:val="0"/>
          <w:szCs w:val="20"/>
        </w:rPr>
        <w:tab/>
        <w:t>(A)</w:t>
      </w:r>
      <w:r w:rsidRPr="0093690D">
        <w:rPr>
          <w:rFonts w:eastAsia="Times New Roman"/>
          <w:snapToGrid w:val="0"/>
          <w:szCs w:val="20"/>
        </w:rPr>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(B)</w:t>
      </w:r>
      <w:r w:rsidRPr="0093690D">
        <w:rPr>
          <w:rFonts w:eastAsia="Times New Roman"/>
          <w:snapToGrid w:val="0"/>
          <w:szCs w:val="20"/>
        </w:rPr>
        <w:tab/>
        <w:t>Stress, mental injuries, and mental illness arising out of and in the course of employment unaccompanied by physical injury and resulting in mental illness or injury are not considered a personal injury unless the employee establishes, by a preponderance of the evidence:</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lastRenderedPageBreak/>
        <w:tab/>
      </w:r>
      <w:r w:rsidRPr="0093690D">
        <w:rPr>
          <w:rFonts w:eastAsia="Times New Roman"/>
          <w:snapToGrid w:val="0"/>
          <w:szCs w:val="20"/>
        </w:rPr>
        <w:tab/>
        <w:t>(1)</w:t>
      </w:r>
      <w:r w:rsidRPr="0093690D">
        <w:rPr>
          <w:rFonts w:eastAsia="Times New Roman"/>
          <w:snapToGrid w:val="0"/>
          <w:szCs w:val="20"/>
        </w:rPr>
        <w:tab/>
        <w:t>that the employee’s employment conditions causing the stress, mental injury, or mental illness were extraordinary and unusual in comparison to the normal conditions of the particular employment; and</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rPr>
        <w:tab/>
        <w:t>(2)</w:t>
      </w:r>
      <w:r w:rsidRPr="0093690D">
        <w:rPr>
          <w:rFonts w:eastAsia="Times New Roman"/>
          <w:snapToGrid w:val="0"/>
          <w:szCs w:val="20"/>
        </w:rPr>
        <w:tab/>
        <w:t>the medical causation between the stress, mental injury, or mental illness, and the stressful employment conditions by medical evidence.</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t>(C)</w:t>
      </w:r>
      <w:r w:rsidRPr="0093690D">
        <w:rPr>
          <w:rFonts w:eastAsia="Times New Roman"/>
          <w:snapToGrid w:val="0"/>
          <w:szCs w:val="20"/>
        </w:rPr>
        <w:tab/>
      </w:r>
      <w:r w:rsidRPr="0093690D">
        <w:rPr>
          <w:rFonts w:eastAsia="Times New Roman"/>
          <w:snapToGrid w:val="0"/>
          <w:szCs w:val="20"/>
          <w:u w:val="single"/>
        </w:rPr>
        <w:t xml:space="preserve">The provisions of subsection (B)(1) do not apply, however, if an employee is employed as a first responder and if the impairment causing the stress, mental injury, or mental illness is medically diagnosed as post-traumatic stress disorder, as described in the most recent edition of the Diagnostic and Statistical Manual of Mental Disorders published by the American Psychiatric Association, arising from the first responder’s involvement in a </w:t>
      </w:r>
      <w:r w:rsidRPr="0093690D">
        <w:rPr>
          <w:rFonts w:eastAsia="Times New Roman"/>
          <w:bCs/>
          <w:iCs/>
          <w:snapToGrid w:val="0"/>
          <w:szCs w:val="20"/>
          <w:u w:val="single"/>
        </w:rPr>
        <w:t>significant</w:t>
      </w:r>
      <w:r w:rsidRPr="0093690D">
        <w:rPr>
          <w:rFonts w:eastAsia="Times New Roman"/>
          <w:bCs/>
          <w:i/>
          <w:iCs/>
          <w:snapToGrid w:val="0"/>
          <w:szCs w:val="20"/>
          <w:u w:val="single"/>
        </w:rPr>
        <w:t xml:space="preserve"> </w:t>
      </w:r>
      <w:r w:rsidRPr="0093690D">
        <w:rPr>
          <w:rFonts w:eastAsia="Times New Roman"/>
          <w:snapToGrid w:val="0"/>
          <w:szCs w:val="20"/>
          <w:u w:val="single"/>
        </w:rPr>
        <w:t>traumatic experience or situation in the course and scope of his employment, without regard to whether the experience or situation was extraordinary or unusual in comparison to the normal working conditions of a first responder’s employment.</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u w:val="single"/>
        </w:rPr>
        <w:t>(D)</w:t>
      </w:r>
      <w:r w:rsidRPr="0093690D">
        <w:rPr>
          <w:rFonts w:eastAsia="Times New Roman"/>
          <w:snapToGrid w:val="0"/>
          <w:szCs w:val="20"/>
        </w:rPr>
        <w:tab/>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trike/>
          <w:snapToGrid w:val="0"/>
          <w:szCs w:val="20"/>
        </w:rPr>
        <w:t>(D)</w:t>
      </w:r>
      <w:r w:rsidRPr="0093690D">
        <w:rPr>
          <w:rFonts w:eastAsia="Times New Roman"/>
          <w:snapToGrid w:val="0"/>
          <w:szCs w:val="20"/>
          <w:u w:val="single"/>
        </w:rPr>
        <w:t>(E)</w:t>
      </w:r>
      <w:r w:rsidRPr="0093690D">
        <w:rPr>
          <w:rFonts w:eastAsia="Times New Roman"/>
          <w:snapToGrid w:val="0"/>
          <w:szCs w:val="20"/>
        </w:rPr>
        <w:tab/>
        <w:t>Stress, mental injuries, and mental illness alleged to have been aggravated by a work</w:t>
      </w:r>
      <w:r w:rsidRPr="0093690D">
        <w:rPr>
          <w:rFonts w:eastAsia="Times New Roman"/>
          <w:snapToGrid w:val="0"/>
          <w:szCs w:val="20"/>
        </w:rPr>
        <w:noBreakHyphen/>
        <w:t>related physical injury may not be found compensable unless the aggravation is:</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rPr>
        <w:tab/>
        <w:t>(1)</w:t>
      </w:r>
      <w:r w:rsidRPr="0093690D">
        <w:rPr>
          <w:rFonts w:eastAsia="Times New Roman"/>
          <w:snapToGrid w:val="0"/>
          <w:szCs w:val="20"/>
        </w:rPr>
        <w:tab/>
        <w:t>admitted by the employer/carrier;</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rPr>
        <w:tab/>
        <w:t>(2)</w:t>
      </w:r>
      <w:r w:rsidRPr="0093690D">
        <w:rPr>
          <w:rFonts w:eastAsia="Times New Roman"/>
          <w:snapToGrid w:val="0"/>
          <w:szCs w:val="20"/>
        </w:rPr>
        <w:tab/>
        <w:t>noted in a medical record of an authorized physician that, in the physician’s opinion, the condition is at least in part causally related or connected to the injury or accident, whether or not the physician refers the employee for treatment of the condition;</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rPr>
        <w:tab/>
        <w:t>(3)</w:t>
      </w:r>
      <w:r w:rsidRPr="0093690D">
        <w:rPr>
          <w:rFonts w:eastAsia="Times New Roman"/>
          <w:snapToGrid w:val="0"/>
          <w:szCs w:val="20"/>
        </w:rPr>
        <w:tab/>
        <w:t>found to be causally related or connected to the accident or injury after evaluation by an authorized psychologist or psychiatrist; or</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rPr>
        <w:tab/>
        <w:t>(4)</w:t>
      </w:r>
      <w:r w:rsidRPr="0093690D">
        <w:rPr>
          <w:rFonts w:eastAsia="Times New Roman"/>
          <w:snapToGrid w:val="0"/>
          <w:szCs w:val="20"/>
        </w:rPr>
        <w:tab/>
        <w:t>noted in a medical record or report of the employee’s physician as causally related or connected to the injury or accident.</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trike/>
          <w:snapToGrid w:val="0"/>
          <w:szCs w:val="20"/>
        </w:rPr>
        <w:t>(E)</w:t>
      </w:r>
      <w:r w:rsidRPr="0093690D">
        <w:rPr>
          <w:rFonts w:eastAsia="Times New Roman"/>
          <w:snapToGrid w:val="0"/>
          <w:szCs w:val="20"/>
          <w:u w:val="single"/>
        </w:rPr>
        <w:t>(F)</w:t>
      </w:r>
      <w:r w:rsidRPr="0093690D">
        <w:rPr>
          <w:rFonts w:eastAsia="Times New Roman"/>
          <w:snapToGrid w:val="0"/>
          <w:szCs w:val="20"/>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sidRPr="0093690D">
        <w:rPr>
          <w:rFonts w:eastAsia="Times New Roman"/>
          <w:snapToGrid w:val="0"/>
          <w:szCs w:val="20"/>
        </w:rPr>
        <w:noBreakHyphen/>
        <w:t>rays, or other similar diagnostic techniques.</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trike/>
          <w:snapToGrid w:val="0"/>
          <w:szCs w:val="20"/>
        </w:rPr>
        <w:t>(F)</w:t>
      </w:r>
      <w:r w:rsidRPr="0093690D">
        <w:rPr>
          <w:rFonts w:eastAsia="Times New Roman"/>
          <w:snapToGrid w:val="0"/>
          <w:szCs w:val="20"/>
          <w:u w:val="single"/>
        </w:rPr>
        <w:t>(G)</w:t>
      </w:r>
      <w:r w:rsidRPr="0093690D">
        <w:rPr>
          <w:rFonts w:eastAsia="Times New Roman"/>
          <w:snapToGrid w:val="0"/>
          <w:szCs w:val="20"/>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Pr="0093690D">
        <w:rPr>
          <w:rFonts w:eastAsia="Times New Roman"/>
          <w:snapToGrid w:val="0"/>
          <w:szCs w:val="20"/>
        </w:rPr>
        <w:noBreakHyphen/>
        <w:t>1</w:t>
      </w:r>
      <w:r w:rsidRPr="0093690D">
        <w:rPr>
          <w:rFonts w:eastAsia="Times New Roman"/>
          <w:snapToGrid w:val="0"/>
          <w:szCs w:val="20"/>
        </w:rPr>
        <w:noBreakHyphen/>
        <w:t>172 or an occupational disease pursuant to the provisions of Chapter 11 of this title.</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trike/>
          <w:snapToGrid w:val="0"/>
          <w:szCs w:val="20"/>
        </w:rPr>
        <w:t>(G)</w:t>
      </w:r>
      <w:r w:rsidRPr="0093690D">
        <w:rPr>
          <w:rFonts w:eastAsia="Times New Roman"/>
          <w:snapToGrid w:val="0"/>
          <w:szCs w:val="20"/>
          <w:u w:val="single"/>
        </w:rPr>
        <w:t>(H)</w:t>
      </w:r>
      <w:r w:rsidRPr="0093690D">
        <w:rPr>
          <w:rFonts w:eastAsia="Times New Roman"/>
          <w:snapToGrid w:val="0"/>
          <w:szCs w:val="20"/>
        </w:rPr>
        <w:tab/>
        <w:t>As used in this section, ‘medical evidence’ means expert opinion or testimony stated to a reasonable degree of medical certainty, documents, records, or other material that is offered by a licensed health care provider.</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u w:val="single"/>
        </w:rPr>
        <w:t>(I)</w:t>
      </w:r>
      <w:r w:rsidRPr="0093690D">
        <w:rPr>
          <w:rFonts w:eastAsia="Times New Roman"/>
          <w:snapToGrid w:val="0"/>
          <w:szCs w:val="20"/>
        </w:rPr>
        <w:tab/>
      </w:r>
      <w:r w:rsidRPr="0093690D">
        <w:rPr>
          <w:rFonts w:eastAsia="Times New Roman"/>
          <w:snapToGrid w:val="0"/>
          <w:szCs w:val="20"/>
          <w:u w:val="single"/>
        </w:rPr>
        <w:t xml:space="preserve">As used in this section: </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(1)</w:t>
      </w:r>
      <w:r w:rsidRPr="0093690D">
        <w:rPr>
          <w:rFonts w:eastAsia="Times New Roman"/>
          <w:snapToGrid w:val="0"/>
          <w:szCs w:val="20"/>
        </w:rPr>
        <w:tab/>
      </w:r>
      <w:r w:rsidRPr="0093690D">
        <w:rPr>
          <w:rFonts w:eastAsia="Times New Roman"/>
          <w:snapToGrid w:val="0"/>
          <w:szCs w:val="20"/>
          <w:u w:val="single"/>
        </w:rPr>
        <w:t>‘first responder’ means a law enforcement officer or firefighter employed by state or local government. A volunteer law enforcement officer or firefighter engaged by state or local government is also considered a first responder of the state or local government for the purposes of this section.</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(2)</w:t>
      </w:r>
      <w:r w:rsidRPr="0093690D">
        <w:rPr>
          <w:rFonts w:eastAsia="Times New Roman"/>
          <w:snapToGrid w:val="0"/>
          <w:szCs w:val="20"/>
        </w:rPr>
        <w:tab/>
      </w:r>
      <w:r w:rsidRPr="0093690D">
        <w:rPr>
          <w:rFonts w:eastAsia="Times New Roman"/>
          <w:snapToGrid w:val="0"/>
          <w:szCs w:val="20"/>
          <w:u w:val="single"/>
        </w:rPr>
        <w:t>‘</w:t>
      </w:r>
      <w:r w:rsidRPr="0093690D">
        <w:rPr>
          <w:rFonts w:eastAsia="Times New Roman"/>
          <w:bCs/>
          <w:iCs/>
          <w:snapToGrid w:val="0"/>
          <w:szCs w:val="20"/>
          <w:u w:val="single"/>
        </w:rPr>
        <w:t>significant</w:t>
      </w:r>
      <w:r w:rsidRPr="0093690D">
        <w:rPr>
          <w:rFonts w:eastAsia="Times New Roman"/>
          <w:bCs/>
          <w:i/>
          <w:iCs/>
          <w:snapToGrid w:val="0"/>
          <w:szCs w:val="20"/>
          <w:u w:val="single"/>
        </w:rPr>
        <w:t xml:space="preserve"> </w:t>
      </w:r>
      <w:r w:rsidRPr="0093690D">
        <w:rPr>
          <w:rFonts w:eastAsia="Times New Roman"/>
          <w:snapToGrid w:val="0"/>
          <w:szCs w:val="20"/>
          <w:u w:val="single"/>
        </w:rPr>
        <w:t xml:space="preserve">traumatic experience or situation’ means one of the following events: </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(a)</w:t>
      </w:r>
      <w:r w:rsidRPr="0093690D">
        <w:rPr>
          <w:rFonts w:eastAsia="Times New Roman"/>
          <w:snapToGrid w:val="0"/>
          <w:szCs w:val="20"/>
        </w:rPr>
        <w:tab/>
      </w:r>
      <w:r w:rsidRPr="0093690D">
        <w:rPr>
          <w:rFonts w:eastAsia="Times New Roman"/>
          <w:snapToGrid w:val="0"/>
          <w:szCs w:val="20"/>
          <w:u w:val="single"/>
        </w:rPr>
        <w:t xml:space="preserve">witnessing a deceased minor or the death of a minor; </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(b)</w:t>
      </w:r>
      <w:r w:rsidRPr="0093690D">
        <w:rPr>
          <w:rFonts w:eastAsia="Times New Roman"/>
          <w:snapToGrid w:val="0"/>
          <w:szCs w:val="20"/>
        </w:rPr>
        <w:tab/>
      </w:r>
      <w:r w:rsidRPr="0093690D">
        <w:rPr>
          <w:rFonts w:eastAsia="Times New Roman"/>
          <w:snapToGrid w:val="0"/>
          <w:szCs w:val="20"/>
          <w:u w:val="single"/>
        </w:rPr>
        <w:t xml:space="preserve">witnessing an injury to a minor who subsequently died before or upon arrival at a hospital emergency department; </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(c)</w:t>
      </w:r>
      <w:r w:rsidRPr="0093690D">
        <w:rPr>
          <w:rFonts w:eastAsia="Times New Roman"/>
          <w:snapToGrid w:val="0"/>
          <w:szCs w:val="20"/>
        </w:rPr>
        <w:tab/>
      </w:r>
      <w:r w:rsidRPr="0093690D">
        <w:rPr>
          <w:rFonts w:eastAsia="Times New Roman"/>
          <w:snapToGrid w:val="0"/>
          <w:szCs w:val="20"/>
          <w:u w:val="single"/>
        </w:rPr>
        <w:t xml:space="preserve">participating in the physical treatment of an injured minor who subsequently died before or upon arrival at a hospital emergency department; </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(d)</w:t>
      </w:r>
      <w:r w:rsidRPr="0093690D">
        <w:rPr>
          <w:rFonts w:eastAsia="Times New Roman"/>
          <w:snapToGrid w:val="0"/>
          <w:szCs w:val="20"/>
        </w:rPr>
        <w:tab/>
      </w:r>
      <w:r w:rsidRPr="0093690D">
        <w:rPr>
          <w:rFonts w:eastAsia="Times New Roman"/>
          <w:snapToGrid w:val="0"/>
          <w:szCs w:val="20"/>
          <w:u w:val="single"/>
        </w:rPr>
        <w:t xml:space="preserve">manually transporting an injured minor who subsequently died before or upon arrival at a hospital emergency department; </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(e)</w:t>
      </w:r>
      <w:r w:rsidRPr="0093690D">
        <w:rPr>
          <w:rFonts w:eastAsia="Times New Roman"/>
          <w:snapToGrid w:val="0"/>
          <w:szCs w:val="20"/>
        </w:rPr>
        <w:tab/>
      </w:r>
      <w:r w:rsidRPr="0093690D">
        <w:rPr>
          <w:rFonts w:eastAsia="Times New Roman"/>
          <w:snapToGrid w:val="0"/>
          <w:szCs w:val="20"/>
          <w:u w:val="single"/>
        </w:rPr>
        <w:t>seeing for oneself a decedent whose death involved grievous bodily harm;</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(f)</w:t>
      </w:r>
      <w:r w:rsidRPr="0093690D">
        <w:rPr>
          <w:rFonts w:eastAsia="Times New Roman"/>
          <w:snapToGrid w:val="0"/>
          <w:szCs w:val="20"/>
        </w:rPr>
        <w:tab/>
      </w:r>
      <w:r w:rsidRPr="0093690D">
        <w:rPr>
          <w:rFonts w:eastAsia="Times New Roman"/>
          <w:snapToGrid w:val="0"/>
          <w:szCs w:val="20"/>
          <w:u w:val="single"/>
        </w:rPr>
        <w:t>witnessing a death, including suicide, that involved grievous bodily harm;</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(g)</w:t>
      </w:r>
      <w:r w:rsidRPr="0093690D">
        <w:rPr>
          <w:rFonts w:eastAsia="Times New Roman"/>
          <w:snapToGrid w:val="0"/>
          <w:szCs w:val="20"/>
        </w:rPr>
        <w:tab/>
      </w:r>
      <w:r w:rsidRPr="0093690D">
        <w:rPr>
          <w:rFonts w:eastAsia="Times New Roman"/>
          <w:snapToGrid w:val="0"/>
          <w:szCs w:val="20"/>
          <w:u w:val="single"/>
        </w:rPr>
        <w:t xml:space="preserve">witnessing a homicide regardless of whether the homicide was criminal or excusable, including murder; mass killing, which means the killing of three or more individuals in a single incident; voluntary manslaughter; involuntary manslaughter; and self-defense; </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(h)</w:t>
      </w:r>
      <w:r w:rsidRPr="0093690D">
        <w:rPr>
          <w:rFonts w:eastAsia="Times New Roman"/>
          <w:snapToGrid w:val="0"/>
          <w:szCs w:val="20"/>
        </w:rPr>
        <w:tab/>
      </w:r>
      <w:r w:rsidRPr="0093690D">
        <w:rPr>
          <w:rFonts w:eastAsia="Times New Roman"/>
          <w:snapToGrid w:val="0"/>
          <w:szCs w:val="20"/>
          <w:u w:val="single"/>
        </w:rPr>
        <w:t xml:space="preserve">witnessing an injury, including an attempted suicide, to a person who subsequently died before or upon arrival at a hospital emergency department if the person was injured with grievous bodily harm; </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(i)</w:t>
      </w:r>
      <w:r w:rsidRPr="0093690D">
        <w:rPr>
          <w:rFonts w:eastAsia="Times New Roman"/>
          <w:snapToGrid w:val="0"/>
          <w:szCs w:val="20"/>
        </w:rPr>
        <w:tab/>
      </w:r>
      <w:r>
        <w:rPr>
          <w:rFonts w:eastAsia="Times New Roman"/>
          <w:snapToGrid w:val="0"/>
          <w:szCs w:val="20"/>
        </w:rPr>
        <w:tab/>
      </w:r>
      <w:r w:rsidRPr="0093690D">
        <w:rPr>
          <w:rFonts w:eastAsia="Times New Roman"/>
          <w:snapToGrid w:val="0"/>
          <w:szCs w:val="20"/>
          <w:u w:val="single"/>
        </w:rPr>
        <w:t xml:space="preserve">participating in the physical treatment of an injury, including an attempted suicide, to a person who subsequently died before or upon arrival at a hospital emergency department if the person was injured with grievous bodily harm; </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(j)</w:t>
      </w:r>
      <w:r w:rsidRPr="0093690D">
        <w:rPr>
          <w:rFonts w:eastAsia="Times New Roman"/>
          <w:snapToGrid w:val="0"/>
          <w:szCs w:val="20"/>
        </w:rPr>
        <w:tab/>
      </w:r>
      <w:r>
        <w:rPr>
          <w:rFonts w:eastAsia="Times New Roman"/>
          <w:snapToGrid w:val="0"/>
          <w:szCs w:val="20"/>
        </w:rPr>
        <w:tab/>
      </w:r>
      <w:r w:rsidRPr="0093690D">
        <w:rPr>
          <w:rFonts w:eastAsia="Times New Roman"/>
          <w:snapToGrid w:val="0"/>
          <w:szCs w:val="20"/>
          <w:u w:val="single"/>
        </w:rPr>
        <w:t>manually transporting a person who was injured, including by attempted suicide, and subsequently died before or upon arrival at a hospital emergency department if the person was injured with grievous bodily harm; or</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(k)</w:t>
      </w:r>
      <w:r w:rsidRPr="0093690D">
        <w:rPr>
          <w:rFonts w:eastAsia="Times New Roman"/>
          <w:snapToGrid w:val="0"/>
          <w:szCs w:val="20"/>
        </w:rPr>
        <w:tab/>
      </w:r>
      <w:r w:rsidRPr="0093690D">
        <w:rPr>
          <w:rFonts w:eastAsia="Times New Roman"/>
          <w:snapToGrid w:val="0"/>
          <w:szCs w:val="20"/>
          <w:u w:val="single"/>
        </w:rPr>
        <w:t>using deadly force or being subjected to deadly force in the course of the first responder’s employment.</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(3)</w:t>
      </w:r>
      <w:r w:rsidRPr="0093690D">
        <w:rPr>
          <w:rFonts w:eastAsia="Times New Roman"/>
          <w:snapToGrid w:val="0"/>
          <w:szCs w:val="20"/>
        </w:rPr>
        <w:tab/>
      </w:r>
      <w:r w:rsidRPr="0093690D">
        <w:rPr>
          <w:rFonts w:eastAsia="Times New Roman"/>
          <w:snapToGrid w:val="0"/>
          <w:szCs w:val="20"/>
          <w:u w:val="single"/>
        </w:rPr>
        <w:t>‘witnessing’ means to see, hear, or smell for oneself.</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(4)</w:t>
      </w:r>
      <w:r w:rsidRPr="0093690D">
        <w:rPr>
          <w:rFonts w:eastAsia="Times New Roman"/>
          <w:snapToGrid w:val="0"/>
          <w:szCs w:val="20"/>
        </w:rPr>
        <w:tab/>
      </w:r>
      <w:r w:rsidRPr="0093690D">
        <w:rPr>
          <w:rFonts w:eastAsia="Times New Roman"/>
          <w:snapToGrid w:val="0"/>
          <w:szCs w:val="20"/>
          <w:u w:val="single"/>
        </w:rPr>
        <w:t>‘grievous bodily harm’ means serious bodily injury including fractured or dislocated bones, deep cuts, torn members of the body, serious damages to internal organs, and other severe bodily injuries.</w:t>
      </w:r>
      <w:r w:rsidRPr="0093690D">
        <w:rPr>
          <w:rFonts w:eastAsia="Times New Roman"/>
          <w:snapToGrid w:val="0"/>
          <w:szCs w:val="20"/>
        </w:rPr>
        <w:t>”</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3690D">
        <w:rPr>
          <w:rFonts w:eastAsia="Times New Roman"/>
          <w:snapToGrid w:val="0"/>
          <w:szCs w:val="20"/>
        </w:rPr>
        <w:t>SECTION</w:t>
      </w:r>
      <w:r w:rsidRPr="0093690D">
        <w:rPr>
          <w:rFonts w:eastAsia="Times New Roman"/>
          <w:snapToGrid w:val="0"/>
          <w:szCs w:val="20"/>
        </w:rPr>
        <w:tab/>
        <w:t>2.</w:t>
      </w:r>
      <w:r w:rsidRPr="0093690D">
        <w:rPr>
          <w:rFonts w:eastAsia="Times New Roman"/>
          <w:snapToGrid w:val="0"/>
          <w:szCs w:val="20"/>
        </w:rPr>
        <w:tab/>
        <w:t>This act takes effect on July 1, 2021, and is applicable to injuries that occur on or after the effective date.</w:t>
      </w:r>
      <w:r w:rsidRPr="0093690D">
        <w:rPr>
          <w:rFonts w:eastAsia="Times New Roman"/>
          <w:snapToGrid w:val="0"/>
          <w:szCs w:val="20"/>
        </w:rPr>
        <w:tab/>
      </w:r>
      <w:r w:rsidRPr="0093690D">
        <w:rPr>
          <w:rFonts w:eastAsia="Times New Roman"/>
          <w:snapToGrid w:val="0"/>
          <w:szCs w:val="20"/>
        </w:rPr>
        <w:tab/>
        <w:t>/</w:t>
      </w:r>
    </w:p>
    <w:p w:rsidR="000871C5" w:rsidRPr="0093690D"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Renumber sections to conform.</w:t>
      </w:r>
    </w:p>
    <w:p w:rsidR="000871C5"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Amend title to conform.</w:t>
      </w: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0871C5" w:rsidRPr="00895400"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Pr="00895400"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871C5" w:rsidRPr="00895400"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895400">
        <w:rPr>
          <w:rFonts w:eastAsia="Times New Roman"/>
          <w:b/>
          <w:bCs/>
        </w:rPr>
        <w:t>Explanation of Fiscal Impact</w:t>
      </w:r>
    </w:p>
    <w:p w:rsidR="000871C5" w:rsidRPr="00895400"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895400">
        <w:rPr>
          <w:rFonts w:eastAsia="Times New Roman"/>
          <w:b/>
        </w:rPr>
        <w:t>State Expenditure</w:t>
      </w:r>
    </w:p>
    <w:p w:rsidR="000871C5" w:rsidRPr="00895400"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1" w:name="_Hlk64877742"/>
      <w:r w:rsidRPr="00895400">
        <w:rPr>
          <w:rFonts w:eastAsia="Times New Roman"/>
        </w:rPr>
        <w:tab/>
        <w:t xml:space="preserve">This bill exempts first responders from having to establish by a preponderance of the evidence that stress, mental injury, or mental illness arising out of or in the course of employment stems from conditions that are extraordinary or unusual relative to the normal conditions of employment for purposes of collecting workers’ compensation.  Currently, if a first responder’s stress, mental injury, or mental illness arise from normal working conditions, the first responder is not considered injured for purposes of collecting workers’ compensations.  This bill would allow a first responder to qualify for injury-related workers’ compensation if the stress, mental injury, or mental illness arise from normal working conditions.  This bill takes effect upon approval of the Governor.  </w:t>
      </w:r>
    </w:p>
    <w:p w:rsidR="000871C5" w:rsidRPr="00895400"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_Hlk64961574"/>
      <w:r w:rsidRPr="00895400">
        <w:rPr>
          <w:rFonts w:eastAsia="Times New Roman"/>
          <w:b/>
        </w:rPr>
        <w:t>Workers Compensation Commission.</w:t>
      </w:r>
      <w:r w:rsidRPr="00895400">
        <w:rPr>
          <w:rFonts w:eastAsia="Times New Roman"/>
        </w:rPr>
        <w:t xml:space="preserve">  This bill does not materially alter the responsibilities of the agency.  Therefore, this bill will have no expenditure impact on the Workers’ Compensation Commission.</w:t>
      </w:r>
      <w:bookmarkEnd w:id="1"/>
      <w:r w:rsidRPr="00895400">
        <w:rPr>
          <w:rFonts w:eastAsia="Times New Roman"/>
        </w:rPr>
        <w:t xml:space="preserve">     </w:t>
      </w:r>
    </w:p>
    <w:p w:rsidR="000871C5" w:rsidRPr="00895400"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5400">
        <w:rPr>
          <w:rFonts w:eastAsia="Times New Roman"/>
          <w:b/>
        </w:rPr>
        <w:t xml:space="preserve">State Accident Fund.  </w:t>
      </w:r>
      <w:r w:rsidRPr="00895400">
        <w:rPr>
          <w:rFonts w:eastAsia="Times New Roman"/>
        </w:rPr>
        <w:t xml:space="preserve">This bill may result in an increase in the cost of workers compensation insurance coverage dependent upon the number of new workers compensation claims likely to be filed by first responders whose stress or mental illness stem from the normal conditions of their jobs.  Those agencies that employee first responders may see in an increase in insurance premiums due to this increase of coverage.  The State Accident Fund offers workers compensation insurance for state agencies.  The potential expenditure impact of this bill is undetermined, contingent upon additional response from the State Accident Fund.  </w:t>
      </w:r>
    </w:p>
    <w:p w:rsidR="000871C5" w:rsidRPr="00895400"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895400">
        <w:rPr>
          <w:rFonts w:eastAsia="Times New Roman"/>
          <w:b/>
          <w:bCs/>
        </w:rPr>
        <w:t>Local Expenditure</w:t>
      </w:r>
    </w:p>
    <w:p w:rsidR="000871C5"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5400">
        <w:rPr>
          <w:rFonts w:eastAsia="Times New Roman"/>
        </w:rPr>
        <w:tab/>
        <w:t xml:space="preserve">This bill may result in an increase in the cost of workers compensation insurance coverage dependent upon the number of new workers compensation claims likely to be filed by first responders whose stress or mental illness stem from the normal conditions of their jobs.  Those local entities that employee first responders may see in an increase in insurance premiums due to this increase of coverage.  The South Carolina Association of Counties provides locals with workers compensation insurance coverage through the South Carolina Counties Workers Compensation Trust (SCCWCT).  Additionally, the Municipal Association of South Carolina offers locals workers compensation coverage.  The local expenditure impact of this bill is pending contingent upon additional response from SCAC and MASC.  </w:t>
      </w:r>
      <w:bookmarkEnd w:id="2"/>
    </w:p>
    <w:p w:rsidR="000871C5"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871C5" w:rsidRPr="00895400" w:rsidRDefault="000871C5"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71C5" w:rsidSect="00895400">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0871C5" w:rsidRPr="00522CE0"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Pr="00522CE0"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Pr="00522CE0"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Pr="00522CE0"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Pr="00522CE0"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Pr="00522CE0"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Pr="00522CE0"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Pr="00522CE0"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Pr="008F023B" w:rsidRDefault="000871C5" w:rsidP="00DD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3" w:name="billhead"/>
      <w:bookmarkEnd w:id="3"/>
      <w:r w:rsidRPr="008F023B">
        <w:rPr>
          <w:rFonts w:eastAsia="Times New Roman"/>
          <w:b/>
          <w:sz w:val="30"/>
          <w:szCs w:val="30"/>
        </w:rPr>
        <w:t xml:space="preserve">A </w:t>
      </w:r>
      <w:bookmarkStart w:id="4" w:name="whattype"/>
      <w:bookmarkEnd w:id="4"/>
      <w:r>
        <w:rPr>
          <w:rFonts w:eastAsia="Times New Roman"/>
          <w:b/>
          <w:sz w:val="30"/>
          <w:szCs w:val="30"/>
        </w:rPr>
        <w:t>BILL</w:t>
      </w:r>
    </w:p>
    <w:p w:rsidR="000871C5" w:rsidRPr="00522CE0" w:rsidRDefault="0008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Pr="00522CE0"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top"/>
      <w:bookmarkEnd w:id="5"/>
      <w:r>
        <w:t>TO AMEND SECTION 42</w:t>
      </w:r>
      <w:r>
        <w:noBreakHyphen/>
        <w:t>1</w:t>
      </w:r>
      <w:r>
        <w:noBreakHyphen/>
        <w:t>160 OF THE 1976 CODE, RELATING TO INJURY AND PERSONAL INJURY IN WORKERS’ COMPENSATION, TO PROVIDE THAT A LIMITATION ON STRESS, MENTAL INJURIES, AND MENTAL ILLNESS FOR WORKERS’ COMPENSATION DOES NOT APPLY TO A FIRST RESPONDER DIAGNOSED WITH POST-TRAUMATIC STRESS DISORDER, AND TO DEFINE NECESSARY TERMS.</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42-1-160 of the 1976 Code is amended to read:</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42-1-160.</w:t>
      </w:r>
      <w:r>
        <w:rPr>
          <w:rFonts w:eastAsia="Times New Roman"/>
        </w:rPr>
        <w:tab/>
      </w:r>
      <w:r>
        <w:t>(A)</w:t>
      </w:r>
      <w:r>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Stress, mental injuries, and mental illness arising out of and in the course of employment unaccompanied by physical injury and resulting in mental illness or injury are not considered a personal injury unless the employee establishes, by a preponderance of the evidence:</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that the employee’s employment conditions causing the stress, mental injury, or mental illness were extraordinary and unusual in comparison to the normal conditions of the particular employment; and</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medical causation between the stress, mental injury, or mental illness, and the stressful employment conditions by medical evidence.</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B4899">
        <w:t>(C)</w:t>
      </w:r>
      <w:r>
        <w:tab/>
      </w:r>
      <w:r w:rsidRPr="00316C89">
        <w:rPr>
          <w:u w:val="single"/>
        </w:rPr>
        <w:t>The provisions of subsection (B)</w:t>
      </w:r>
      <w:r>
        <w:rPr>
          <w:u w:val="single"/>
        </w:rPr>
        <w:t>(1)</w:t>
      </w:r>
      <w:r w:rsidRPr="00316C89">
        <w:rPr>
          <w:u w:val="single"/>
        </w:rPr>
        <w:t xml:space="preserve"> do not apply, however, if </w:t>
      </w:r>
      <w:r>
        <w:rPr>
          <w:u w:val="single"/>
        </w:rPr>
        <w:t>an</w:t>
      </w:r>
      <w:r w:rsidRPr="00316C89">
        <w:rPr>
          <w:u w:val="single"/>
        </w:rPr>
        <w:t xml:space="preserve"> employee is employed as a first responder and </w:t>
      </w:r>
      <w:r>
        <w:rPr>
          <w:u w:val="single"/>
        </w:rPr>
        <w:t xml:space="preserve">if </w:t>
      </w:r>
      <w:r w:rsidRPr="00316C89">
        <w:rPr>
          <w:u w:val="single"/>
        </w:rPr>
        <w:t xml:space="preserve">the impairment causing the stress, mental injury, or mental illness is medically diagnosed as </w:t>
      </w:r>
      <w:r>
        <w:rPr>
          <w:u w:val="single"/>
        </w:rPr>
        <w:t>p</w:t>
      </w:r>
      <w:r w:rsidRPr="00316C89">
        <w:rPr>
          <w:u w:val="single"/>
        </w:rPr>
        <w:t>ost</w:t>
      </w:r>
      <w:r>
        <w:rPr>
          <w:u w:val="single"/>
        </w:rPr>
        <w:t>-t</w:t>
      </w:r>
      <w:r w:rsidRPr="00316C89">
        <w:rPr>
          <w:u w:val="single"/>
        </w:rPr>
        <w:t xml:space="preserve">raumatic </w:t>
      </w:r>
      <w:r>
        <w:rPr>
          <w:u w:val="single"/>
        </w:rPr>
        <w:t>s</w:t>
      </w:r>
      <w:r w:rsidRPr="00316C89">
        <w:rPr>
          <w:u w:val="single"/>
        </w:rPr>
        <w:t xml:space="preserve">tress </w:t>
      </w:r>
      <w:r>
        <w:rPr>
          <w:u w:val="single"/>
        </w:rPr>
        <w:t>d</w:t>
      </w:r>
      <w:r w:rsidRPr="00316C89">
        <w:rPr>
          <w:u w:val="single"/>
        </w:rPr>
        <w:t>isorder aris</w:t>
      </w:r>
      <w:r>
        <w:rPr>
          <w:u w:val="single"/>
        </w:rPr>
        <w:t>ing</w:t>
      </w:r>
      <w:r w:rsidRPr="00316C89">
        <w:rPr>
          <w:u w:val="single"/>
        </w:rPr>
        <w:t xml:space="preserve"> from the first responder’s direct involvement in a </w:t>
      </w:r>
      <w:r w:rsidRPr="00316C89">
        <w:rPr>
          <w:bCs/>
          <w:iCs/>
          <w:u w:val="single"/>
        </w:rPr>
        <w:t>significant</w:t>
      </w:r>
      <w:r w:rsidRPr="00316C89">
        <w:rPr>
          <w:bCs/>
          <w:i/>
          <w:iCs/>
          <w:u w:val="single"/>
        </w:rPr>
        <w:t xml:space="preserve"> </w:t>
      </w:r>
      <w:r w:rsidRPr="00316C89">
        <w:rPr>
          <w:u w:val="single"/>
        </w:rPr>
        <w:t xml:space="preserve">traumatic experience or situation, without regard to </w:t>
      </w:r>
      <w:r>
        <w:rPr>
          <w:u w:val="single"/>
        </w:rPr>
        <w:t>whether</w:t>
      </w:r>
      <w:r w:rsidRPr="00316C89">
        <w:rPr>
          <w:u w:val="single"/>
        </w:rPr>
        <w:t xml:space="preserve"> the experience or situation was extraordinary or unusual in comparison to the normal working conditions of a first responder’s employment</w:t>
      </w:r>
      <w:r>
        <w:rPr>
          <w:u w:val="single"/>
        </w:rPr>
        <w:t>.</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tab/>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w:t>
      </w:r>
      <w:r>
        <w:rPr>
          <w:strike/>
          <w:szCs w:val="52"/>
        </w:rPr>
        <w:t>D)</w:t>
      </w:r>
      <w:r>
        <w:rPr>
          <w:szCs w:val="52"/>
          <w:u w:val="single"/>
        </w:rPr>
        <w:t>(E</w:t>
      </w:r>
      <w:r w:rsidRPr="00EA7578">
        <w:rPr>
          <w:szCs w:val="52"/>
          <w:u w:val="single"/>
        </w:rPr>
        <w:t>)</w:t>
      </w:r>
      <w:r>
        <w:rPr>
          <w:szCs w:val="52"/>
        </w:rPr>
        <w:tab/>
        <w:t>Stress, mental injuries, and mental illness alleged to have been aggravated by a work</w:t>
      </w:r>
      <w:r>
        <w:rPr>
          <w:szCs w:val="52"/>
        </w:rPr>
        <w:noBreakHyphen/>
        <w:t>related physical injury may not be found compensable unless the aggravation is:</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admitted by the employer/carrier;</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Pr>
          <w:szCs w:val="52"/>
        </w:rPr>
        <w:noBreakHyphen/>
        <w:t>related or connected to the injury or accident, whether or not the physician refers the employee for treatment of the condition;</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Pr>
          <w:szCs w:val="52"/>
        </w:rPr>
        <w:noBreakHyphen/>
        <w:t>related or connected to the accident or injury after evaluation by an authorized psychologist or psychiatrist; or</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Pr>
          <w:szCs w:val="52"/>
        </w:rPr>
        <w:noBreakHyphen/>
        <w:t>related or connected to the injury or accident.</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(E)</w:t>
      </w:r>
      <w:r w:rsidRPr="00EA7578">
        <w:rPr>
          <w:szCs w:val="52"/>
          <w:u w:val="single"/>
        </w:rPr>
        <w:t>(F)</w:t>
      </w:r>
      <w:r>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Pr>
          <w:szCs w:val="52"/>
        </w:rPr>
        <w:noBreakHyphen/>
        <w:t>rays, or other similar diagnostic techniques.</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(F)</w:t>
      </w:r>
      <w:r>
        <w:rPr>
          <w:szCs w:val="52"/>
          <w:u w:val="single"/>
        </w:rPr>
        <w:t>(G</w:t>
      </w:r>
      <w:r w:rsidRPr="00EA7578">
        <w:rPr>
          <w:szCs w:val="52"/>
          <w:u w:val="single"/>
        </w:rPr>
        <w:t>)</w:t>
      </w:r>
      <w:r>
        <w:rPr>
          <w:szCs w:val="52"/>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Pr>
          <w:szCs w:val="52"/>
        </w:rPr>
        <w:noBreakHyphen/>
        <w:t>1</w:t>
      </w:r>
      <w:r>
        <w:rPr>
          <w:szCs w:val="52"/>
        </w:rPr>
        <w:noBreakHyphen/>
        <w:t>172 or an occupational disease pursuant to the provisions of Chapter 11 of this title.</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r>
      <w:r w:rsidRPr="00EA7578">
        <w:rPr>
          <w:strike/>
          <w:szCs w:val="52"/>
        </w:rPr>
        <w:t>(G</w:t>
      </w:r>
      <w:r>
        <w:rPr>
          <w:strike/>
          <w:szCs w:val="52"/>
        </w:rPr>
        <w:t>)</w:t>
      </w:r>
      <w:r>
        <w:rPr>
          <w:szCs w:val="52"/>
          <w:u w:val="single"/>
        </w:rPr>
        <w:t>(H</w:t>
      </w:r>
      <w:r w:rsidRPr="00EA7578">
        <w:rPr>
          <w:szCs w:val="52"/>
          <w:u w:val="single"/>
        </w:rPr>
        <w:t>)</w:t>
      </w:r>
      <w:r w:rsidRPr="00EA7578">
        <w:rPr>
          <w:szCs w:val="52"/>
        </w:rPr>
        <w:tab/>
      </w:r>
      <w:r>
        <w:rPr>
          <w:szCs w:val="52"/>
        </w:rPr>
        <w:t>As used in this section, ‘medical evidence’ means expert opinion or testimony stated to a reasonable degree of medical certainty, documents, records, or other material that is offered by a licensed health care provider.</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52"/>
        </w:rPr>
        <w:tab/>
      </w:r>
      <w:r w:rsidRPr="00D62D4A">
        <w:rPr>
          <w:szCs w:val="52"/>
          <w:u w:val="single"/>
        </w:rPr>
        <w:t>(I)</w:t>
      </w:r>
      <w:r>
        <w:rPr>
          <w:szCs w:val="52"/>
        </w:rPr>
        <w:tab/>
      </w:r>
      <w:r w:rsidRPr="00D62D4A">
        <w:rPr>
          <w:szCs w:val="52"/>
          <w:u w:val="single"/>
        </w:rPr>
        <w:t>As used in this section, ‘first responder’ means a law enforcement officer, firefighter,</w:t>
      </w:r>
      <w:r>
        <w:rPr>
          <w:szCs w:val="52"/>
          <w:u w:val="single"/>
        </w:rPr>
        <w:t xml:space="preserve"> or </w:t>
      </w:r>
      <w:r w:rsidRPr="00D62D4A">
        <w:rPr>
          <w:szCs w:val="52"/>
          <w:u w:val="single"/>
        </w:rPr>
        <w:t>emergency medical technician</w:t>
      </w:r>
      <w:r>
        <w:rPr>
          <w:szCs w:val="52"/>
          <w:u w:val="single"/>
        </w:rPr>
        <w:t xml:space="preserve">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state or local government is also considered a</w:t>
      </w:r>
      <w:r>
        <w:rPr>
          <w:szCs w:val="52"/>
          <w:u w:val="single"/>
        </w:rPr>
        <w:t xml:space="preserve"> </w:t>
      </w:r>
      <w:r w:rsidRPr="00D62D4A">
        <w:rPr>
          <w:szCs w:val="52"/>
          <w:u w:val="single"/>
        </w:rPr>
        <w:t>first responde</w:t>
      </w:r>
      <w:r>
        <w:rPr>
          <w:szCs w:val="52"/>
          <w:u w:val="single"/>
        </w:rPr>
        <w:t>r</w:t>
      </w:r>
      <w:r w:rsidRPr="00D62D4A">
        <w:rPr>
          <w:szCs w:val="52"/>
          <w:u w:val="single"/>
        </w:rPr>
        <w:t xml:space="preserve"> of the state or local government for </w:t>
      </w:r>
      <w:r>
        <w:rPr>
          <w:szCs w:val="52"/>
          <w:u w:val="single"/>
        </w:rPr>
        <w:t xml:space="preserve">the </w:t>
      </w:r>
      <w:r w:rsidRPr="00D62D4A">
        <w:rPr>
          <w:szCs w:val="52"/>
          <w:u w:val="single"/>
        </w:rPr>
        <w:t>purposes of this section</w:t>
      </w:r>
      <w:r w:rsidRPr="00347AE9">
        <w:rPr>
          <w:szCs w:val="52"/>
          <w:u w:val="single"/>
        </w:rPr>
        <w:t>.</w:t>
      </w:r>
      <w:r>
        <w:rPr>
          <w:szCs w:val="52"/>
        </w:rPr>
        <w:t>”</w:t>
      </w:r>
    </w:p>
    <w:p w:rsidR="000871C5"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1C5" w:rsidRPr="00522CE0" w:rsidRDefault="000871C5"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0871C5" w:rsidRDefault="000871C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22AB" w:rsidRDefault="003722AB" w:rsidP="00087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722AB" w:rsidSect="00895400">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717" w:rsidRDefault="00E21717" w:rsidP="00522CE0">
      <w:r>
        <w:separator/>
      </w:r>
    </w:p>
  </w:endnote>
  <w:endnote w:type="continuationSeparator" w:id="0">
    <w:p w:rsidR="00E21717" w:rsidRDefault="00E217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59C4AA-8FB3-4EC3-B7DC-F34E2F7F2518}"/>
    <w:embedBold r:id="rId2" w:fontKey="{EA4E8108-2D2C-4BDC-B5F1-4488AC1A3C68}"/>
    <w:embedItalic r:id="rId3" w:fontKey="{26E5DB9E-270C-4A44-8D67-09F67A63393E}"/>
    <w:embedBoldItalic r:id="rId4" w:fontKey="{ACDFD1F1-492C-4A9C-A5BB-4C03E8A13EBD}"/>
  </w:font>
  <w:font w:name="Calibri">
    <w:panose1 w:val="020F0502020204030204"/>
    <w:charset w:val="00"/>
    <w:family w:val="swiss"/>
    <w:pitch w:val="variable"/>
    <w:sig w:usb0="E0002EFF" w:usb1="C000247B" w:usb2="00000009" w:usb3="00000000" w:csb0="000001FF" w:csb1="00000000"/>
    <w:embedRegular r:id="rId5" w:fontKey="{75891B9B-1448-4BFD-981E-A4B33B3512A7}"/>
    <w:embedBold r:id="rId6" w:fontKey="{18087144-0236-4F86-89B7-ED4A1A4C4C78}"/>
    <w:embedItalic r:id="rId7" w:fontKey="{ED95175A-D87C-4978-B585-5AB86C2FDF14}"/>
  </w:font>
  <w:font w:name="Segoe UI">
    <w:panose1 w:val="020B0502040204020203"/>
    <w:charset w:val="00"/>
    <w:family w:val="swiss"/>
    <w:pitch w:val="variable"/>
    <w:sig w:usb0="E4002EFF" w:usb1="C000E47F" w:usb2="00000009" w:usb3="00000000" w:csb0="000001FF" w:csb1="00000000"/>
    <w:embedRegular r:id="rId8" w:fontKey="{A6B4FA8F-DAEA-4ADA-8588-BB4A174E61A6}"/>
  </w:font>
  <w:font w:name="Cambria">
    <w:panose1 w:val="02040503050406030204"/>
    <w:charset w:val="00"/>
    <w:family w:val="roman"/>
    <w:pitch w:val="variable"/>
    <w:sig w:usb0="E00006FF" w:usb1="420024FF" w:usb2="02000000" w:usb3="00000000" w:csb0="0000019F" w:csb1="00000000"/>
    <w:embedRegular r:id="rId9" w:fontKey="{A33D364B-9ABF-4E95-A343-ABF6F4D1C6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1C5" w:rsidRPr="00DD5952" w:rsidRDefault="000871C5" w:rsidP="00DD5952">
    <w:pPr>
      <w:pStyle w:val="Footer"/>
      <w:tabs>
        <w:tab w:val="clear" w:pos="4680"/>
        <w:tab w:val="clear" w:pos="9360"/>
        <w:tab w:val="center" w:pos="2995"/>
      </w:tabs>
      <w:spacing w:before="120"/>
    </w:pPr>
    <w:r>
      <w:t>[94-</w:t>
    </w:r>
    <w:r>
      <w:fldChar w:fldCharType="begin"/>
    </w:r>
    <w:r>
      <w:instrText xml:space="preserve"> PAGE  \* MERGEFORMAT </w:instrText>
    </w:r>
    <w:r>
      <w:fldChar w:fldCharType="separate"/>
    </w:r>
    <w:r w:rsidR="00AA44E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400" w:rsidRPr="00DD5952" w:rsidRDefault="000871C5" w:rsidP="00DD5952">
    <w:pPr>
      <w:pStyle w:val="Footer"/>
      <w:tabs>
        <w:tab w:val="clear" w:pos="4680"/>
        <w:tab w:val="clear" w:pos="9360"/>
        <w:tab w:val="center" w:pos="2995"/>
      </w:tabs>
      <w:spacing w:before="120"/>
    </w:pPr>
    <w:r>
      <w:t>[94]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717" w:rsidRDefault="00E21717" w:rsidP="00522CE0">
      <w:r>
        <w:separator/>
      </w:r>
    </w:p>
  </w:footnote>
  <w:footnote w:type="continuationSeparator" w:id="0">
    <w:p w:rsidR="00E21717" w:rsidRDefault="00E217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PTSD.KMM.GM"/>
    <w:docVar w:name="CoverAttorneyInitials" w:val="KMM"/>
    <w:docVar w:name="CoverAttorneyLastName" w:val="Moffitt"/>
    <w:docVar w:name="CoverBillType" w:val="b"/>
    <w:docVar w:name="CoverSenator" w:val="GM"/>
    <w:docVar w:name="dvBillNumber" w:val="94"/>
    <w:docVar w:name="dvBillNumberPrefix" w:val="S. "/>
    <w:docVar w:name="dvOriginalBody" w:val="Senate"/>
    <w:docVar w:name="fulldraftpath" w:val="L:\S-RES\GM\027PTSD.KMM.GM.DOCX"/>
    <w:docVar w:name="NameofBody" w:val="S"/>
    <w:docVar w:name="vgroup2" w:val="S-RES"/>
  </w:docVars>
  <w:rsids>
    <w:rsidRoot w:val="00E21717"/>
    <w:rsid w:val="00042AC1"/>
    <w:rsid w:val="00042E37"/>
    <w:rsid w:val="00046516"/>
    <w:rsid w:val="00072458"/>
    <w:rsid w:val="0007601D"/>
    <w:rsid w:val="000871C5"/>
    <w:rsid w:val="000B0720"/>
    <w:rsid w:val="000B5EAF"/>
    <w:rsid w:val="001315B2"/>
    <w:rsid w:val="00170561"/>
    <w:rsid w:val="00174988"/>
    <w:rsid w:val="00186AC9"/>
    <w:rsid w:val="00197DF1"/>
    <w:rsid w:val="001B30F5"/>
    <w:rsid w:val="001B3DD9"/>
    <w:rsid w:val="001B7E5D"/>
    <w:rsid w:val="001D3BAC"/>
    <w:rsid w:val="001E2C5A"/>
    <w:rsid w:val="00216025"/>
    <w:rsid w:val="00245C4E"/>
    <w:rsid w:val="002734C6"/>
    <w:rsid w:val="00276E88"/>
    <w:rsid w:val="002C1321"/>
    <w:rsid w:val="002C2031"/>
    <w:rsid w:val="002C5896"/>
    <w:rsid w:val="002D3BED"/>
    <w:rsid w:val="002D4BCD"/>
    <w:rsid w:val="002F20DA"/>
    <w:rsid w:val="003078BF"/>
    <w:rsid w:val="00307C2B"/>
    <w:rsid w:val="00315D04"/>
    <w:rsid w:val="003722AB"/>
    <w:rsid w:val="00383247"/>
    <w:rsid w:val="003D6E2B"/>
    <w:rsid w:val="003E7597"/>
    <w:rsid w:val="00413EBF"/>
    <w:rsid w:val="0044020F"/>
    <w:rsid w:val="00450668"/>
    <w:rsid w:val="00454138"/>
    <w:rsid w:val="004813A2"/>
    <w:rsid w:val="004952FA"/>
    <w:rsid w:val="004B6A22"/>
    <w:rsid w:val="004D7F37"/>
    <w:rsid w:val="004E388A"/>
    <w:rsid w:val="00522CE0"/>
    <w:rsid w:val="00541951"/>
    <w:rsid w:val="00565148"/>
    <w:rsid w:val="00570403"/>
    <w:rsid w:val="00577450"/>
    <w:rsid w:val="005920E3"/>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375A6"/>
    <w:rsid w:val="00870F6F"/>
    <w:rsid w:val="008B2F42"/>
    <w:rsid w:val="008C3697"/>
    <w:rsid w:val="008E185F"/>
    <w:rsid w:val="008F023B"/>
    <w:rsid w:val="00904E16"/>
    <w:rsid w:val="009162B3"/>
    <w:rsid w:val="00924576"/>
    <w:rsid w:val="00927C62"/>
    <w:rsid w:val="00961A7E"/>
    <w:rsid w:val="00983951"/>
    <w:rsid w:val="00984124"/>
    <w:rsid w:val="00984640"/>
    <w:rsid w:val="00984796"/>
    <w:rsid w:val="00995C37"/>
    <w:rsid w:val="009C118A"/>
    <w:rsid w:val="00A00FED"/>
    <w:rsid w:val="00A02011"/>
    <w:rsid w:val="00A4011E"/>
    <w:rsid w:val="00A70834"/>
    <w:rsid w:val="00A86015"/>
    <w:rsid w:val="00A9594E"/>
    <w:rsid w:val="00AA44E2"/>
    <w:rsid w:val="00AE59C8"/>
    <w:rsid w:val="00B10098"/>
    <w:rsid w:val="00B5790D"/>
    <w:rsid w:val="00B945C5"/>
    <w:rsid w:val="00BA20EA"/>
    <w:rsid w:val="00BB4899"/>
    <w:rsid w:val="00BB5AFC"/>
    <w:rsid w:val="00BC026E"/>
    <w:rsid w:val="00BC0A56"/>
    <w:rsid w:val="00BE0DFB"/>
    <w:rsid w:val="00C45366"/>
    <w:rsid w:val="00C57023"/>
    <w:rsid w:val="00C74052"/>
    <w:rsid w:val="00CB187A"/>
    <w:rsid w:val="00CC0EC7"/>
    <w:rsid w:val="00CC251A"/>
    <w:rsid w:val="00CD72C4"/>
    <w:rsid w:val="00CF2C98"/>
    <w:rsid w:val="00D1088B"/>
    <w:rsid w:val="00D1286F"/>
    <w:rsid w:val="00D14DE6"/>
    <w:rsid w:val="00D156D2"/>
    <w:rsid w:val="00D35486"/>
    <w:rsid w:val="00D53E29"/>
    <w:rsid w:val="00D86943"/>
    <w:rsid w:val="00DA3C6B"/>
    <w:rsid w:val="00DA47B9"/>
    <w:rsid w:val="00DC5405"/>
    <w:rsid w:val="00DD5952"/>
    <w:rsid w:val="00DE5635"/>
    <w:rsid w:val="00E058D3"/>
    <w:rsid w:val="00E12CA0"/>
    <w:rsid w:val="00E21717"/>
    <w:rsid w:val="00E2236D"/>
    <w:rsid w:val="00E76AD9"/>
    <w:rsid w:val="00E86EE2"/>
    <w:rsid w:val="00E91E2F"/>
    <w:rsid w:val="00EA3546"/>
    <w:rsid w:val="00EB47AE"/>
    <w:rsid w:val="00EC34E1"/>
    <w:rsid w:val="00F0234A"/>
    <w:rsid w:val="00F05CF2"/>
    <w:rsid w:val="00F51241"/>
    <w:rsid w:val="00F52959"/>
    <w:rsid w:val="00F55884"/>
    <w:rsid w:val="00FA78A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6F11B5CA-17F1-4457-8CAD-922EDA68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847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796"/>
    <w:rPr>
      <w:rFonts w:ascii="Segoe UI" w:hAnsi="Segoe UI" w:cs="Segoe UI"/>
      <w:sz w:val="18"/>
      <w:szCs w:val="18"/>
    </w:rPr>
  </w:style>
  <w:style w:type="character" w:styleId="Hyperlink">
    <w:name w:val="Hyperlink"/>
    <w:basedOn w:val="DefaultParagraphFont"/>
    <w:uiPriority w:val="99"/>
    <w:unhideWhenUsed/>
    <w:rsid w:val="003722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0.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hyperlink" Target="file:///p:\pprever\2021-22\94_20210311.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p:\pprever\2021-22\94_20210310.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21-22\94_20201209.docx" TargetMode="External"/><Relationship Id="rId4" Type="http://schemas.openxmlformats.org/officeDocument/2006/relationships/footnotes" Target="footnotes.xml"/><Relationship Id="rId9" Type="http://schemas.openxmlformats.org/officeDocument/2006/relationships/hyperlink" Target="http://www.scstatehouse.gov/billsearch.php?billnumbers=94&amp;session=124&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2757</Words>
  <Characters>14089</Characters>
  <Application>Microsoft Office Word</Application>
  <DocSecurity>0</DocSecurity>
  <Lines>612</Lines>
  <Paragraphs>271</Paragraphs>
  <ScaleCrop>false</ScaleCrop>
  <Company> </Company>
  <LinksUpToDate>false</LinksUpToDate>
  <CharactersWithSpaces>16575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 Subject not yet available - South Carolina Legislature Online</dc:title>
  <dc:subject/>
  <dc:creator>Ken Moffitt</dc:creator>
  <cp:keywords/>
  <dc:description/>
  <cp:lastModifiedBy>S Wilson</cp:lastModifiedBy>
  <cp:revision>2</cp:revision>
  <dcterms:created xsi:type="dcterms:W3CDTF">2021-03-11T18:35:00Z</dcterms:created>
  <dcterms:modified xsi:type="dcterms:W3CDTF">2021-03-11T18:35:00Z</dcterms:modified>
</cp:coreProperties>
</file>