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00E4A" w14:textId="6B832B5C" w:rsidR="00976EA5"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w:t>
      </w:r>
      <w:r w:rsidRPr="00CD223E">
        <w:rPr>
          <w:rFonts w:eastAsia="Times New Roman"/>
        </w:rPr>
        <w:t>D</w:t>
      </w:r>
    </w:p>
    <w:p w14:paraId="0190329E" w14:textId="08E2C87F" w:rsidR="00976EA5"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May 6</w:t>
      </w:r>
      <w:r w:rsidR="00976EA5" w:rsidRPr="00CD223E">
        <w:rPr>
          <w:rFonts w:eastAsia="Times New Roman"/>
        </w:rPr>
        <w:t>, 2021</w:t>
      </w:r>
    </w:p>
    <w:p w14:paraId="50B292C9" w14:textId="472C0B0C"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A62B" w14:textId="012CA45D" w:rsidR="00976EA5" w:rsidRPr="00CD223E" w:rsidRDefault="00976EA5" w:rsidP="00976EA5">
      <w:pPr>
        <w:tabs>
          <w:tab w:val="right" w:pos="5933"/>
        </w:tabs>
        <w:suppressAutoHyphens/>
        <w:jc w:val="both"/>
        <w:rPr>
          <w:rFonts w:eastAsia="Times New Roman"/>
        </w:rPr>
      </w:pPr>
      <w:r w:rsidRPr="00CD223E">
        <w:rPr>
          <w:rFonts w:eastAsia="Times New Roman"/>
        </w:rPr>
        <w:tab/>
      </w:r>
      <w:r w:rsidRPr="00CD223E">
        <w:rPr>
          <w:rFonts w:eastAsia="Times New Roman"/>
          <w:b/>
          <w:sz w:val="36"/>
        </w:rPr>
        <w:t>S. 152</w:t>
      </w:r>
    </w:p>
    <w:p w14:paraId="50A8933C" w14:textId="3795B321"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C292" w14:textId="1A38F3FC"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 xml:space="preserve">Introduced by </w:t>
      </w:r>
      <w:r w:rsidRPr="00CD223E">
        <w:t>Senators Davis, Campsen, Goldfinch, Senn, M. Johnson, Hutto, Malloy, Harpootlian, Cromer, Matthews, K. Johnson, Rice and Hembree</w:t>
      </w:r>
    </w:p>
    <w:p w14:paraId="29A1380B" w14:textId="485349E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7F55F" w14:textId="25680815" w:rsidR="00976EA5" w:rsidRPr="00CD223E" w:rsidRDefault="00976EA5" w:rsidP="009E62BF">
      <w:pPr>
        <w:tabs>
          <w:tab w:val="right" w:pos="5933"/>
        </w:tabs>
        <w:suppressAutoHyphens/>
        <w:jc w:val="both"/>
        <w:rPr>
          <w:rFonts w:eastAsia="Times New Roman"/>
        </w:rPr>
      </w:pPr>
      <w:r w:rsidRPr="00CD223E">
        <w:rPr>
          <w:rFonts w:eastAsia="Times New Roman"/>
        </w:rPr>
        <w:t>S.</w:t>
      </w:r>
      <w:r w:rsidR="000D049F" w:rsidRPr="00CD223E">
        <w:rPr>
          <w:rFonts w:eastAsia="Times New Roman"/>
        </w:rPr>
        <w:t xml:space="preserve"> Printed 5/6</w:t>
      </w:r>
      <w:r w:rsidRPr="00CD223E">
        <w:rPr>
          <w:rFonts w:eastAsia="Times New Roman"/>
        </w:rPr>
        <w:t>/21--S.</w:t>
      </w:r>
      <w:r w:rsidR="009E62BF">
        <w:rPr>
          <w:rFonts w:eastAsia="Times New Roman"/>
        </w:rPr>
        <w:tab/>
        <w:t>[SEC 5/7/21 12:31 PM]</w:t>
      </w:r>
    </w:p>
    <w:p w14:paraId="2A20DD5C" w14:textId="513AAFF4"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Read the first time January 12, 2021.</w:t>
      </w:r>
    </w:p>
    <w:p w14:paraId="404426A8" w14:textId="4DF26B48"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u w:val="single"/>
        </w:rPr>
        <w:t>            </w:t>
      </w:r>
    </w:p>
    <w:p w14:paraId="397069C9" w14:textId="7DED5C9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C76CA" w14:textId="4222E0DD"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8650090"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6CC37"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6EA5" w:rsidRPr="00CD223E"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CD223E"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CD223E"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CD223E">
        <w:rPr>
          <w:rFonts w:eastAsia="Times New Roman"/>
          <w:b/>
          <w:sz w:val="30"/>
          <w:szCs w:val="30"/>
        </w:rPr>
        <w:t xml:space="preserve">A </w:t>
      </w:r>
      <w:bookmarkStart w:id="2" w:name="whattype"/>
      <w:bookmarkEnd w:id="2"/>
      <w:r w:rsidR="007F205D" w:rsidRPr="00CD223E">
        <w:rPr>
          <w:rFonts w:eastAsia="Times New Roman"/>
          <w:b/>
          <w:sz w:val="30"/>
          <w:szCs w:val="30"/>
        </w:rPr>
        <w:t>BILL</w:t>
      </w:r>
    </w:p>
    <w:p w14:paraId="4D9DA3D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Pr="00CD223E"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223E">
        <w:rPr>
          <w:rFonts w:eastAsia="Times New Roman"/>
        </w:rPr>
        <w:t>TO ENACT THE “COUNTY GREEN</w:t>
      </w:r>
      <w:r w:rsidR="00E20583" w:rsidRPr="00CD223E">
        <w:rPr>
          <w:rFonts w:eastAsia="Times New Roman"/>
        </w:rPr>
        <w:t xml:space="preserve"> </w:t>
      </w:r>
      <w:r w:rsidRPr="00CD223E">
        <w:rPr>
          <w:rFonts w:eastAsia="Times New Roman"/>
        </w:rPr>
        <w:t xml:space="preserve">SPACE SALES TAX ACT”; </w:t>
      </w:r>
      <w:r w:rsidR="00C87404" w:rsidRPr="00CD223E">
        <w:rPr>
          <w:rFonts w:eastAsia="Times New Roman"/>
        </w:rPr>
        <w:t>TO AMEND CHAPTER 10, TITLE 4 OF THE 1976 CODE, RELATING TO COUNTY LOCAL SALES AND USE TAX</w:t>
      </w:r>
      <w:r w:rsidR="003A5E89" w:rsidRPr="00CD223E">
        <w:rPr>
          <w:rFonts w:eastAsia="Times New Roman"/>
        </w:rPr>
        <w:t>ES</w:t>
      </w:r>
      <w:r w:rsidR="00C87404" w:rsidRPr="00CD223E">
        <w:rPr>
          <w:rFonts w:eastAsia="Times New Roman"/>
        </w:rPr>
        <w:t>, BY ADDING ARTICLE 10</w:t>
      </w:r>
      <w:r w:rsidR="003A5E89" w:rsidRPr="00CD223E">
        <w:rPr>
          <w:rFonts w:eastAsia="Times New Roman"/>
        </w:rPr>
        <w:t>,</w:t>
      </w:r>
      <w:r w:rsidR="00C87404" w:rsidRPr="00CD223E">
        <w:rPr>
          <w:rFonts w:eastAsia="Times New Roman"/>
        </w:rPr>
        <w:t xml:space="preserve"> TO CREATE THE COUNTY GREEN</w:t>
      </w:r>
      <w:r w:rsidR="00E20583" w:rsidRPr="00CD223E">
        <w:rPr>
          <w:rFonts w:eastAsia="Times New Roman"/>
        </w:rPr>
        <w:t xml:space="preserve"> </w:t>
      </w:r>
      <w:r w:rsidR="00C87404" w:rsidRPr="00CD223E">
        <w:rPr>
          <w:rFonts w:eastAsia="Times New Roman"/>
        </w:rPr>
        <w:t>SPACE SALES TAX</w:t>
      </w:r>
      <w:r w:rsidRPr="00CD223E">
        <w:rPr>
          <w:rFonts w:eastAsia="Times New Roman"/>
        </w:rPr>
        <w:t>,</w:t>
      </w:r>
      <w:r w:rsidR="00C87404" w:rsidRPr="00CD223E">
        <w:rPr>
          <w:rFonts w:eastAsia="Times New Roman"/>
        </w:rPr>
        <w:t xml:space="preserve"> TO IMPOSE THE TAX</w:t>
      </w:r>
      <w:r w:rsidRPr="00CD223E">
        <w:rPr>
          <w:rFonts w:eastAsia="Times New Roman"/>
        </w:rPr>
        <w:t>,</w:t>
      </w:r>
      <w:r w:rsidR="00C87404" w:rsidRPr="00CD223E">
        <w:rPr>
          <w:rFonts w:eastAsia="Times New Roman"/>
        </w:rPr>
        <w:t xml:space="preserve"> TO PROVIDE FOR THE CONTENTS OF THE BALLOT AND THE PURPOSE FOR WHICH TAX PROCEEDS MAY BE USED</w:t>
      </w:r>
      <w:r w:rsidRPr="00CD223E">
        <w:rPr>
          <w:rFonts w:eastAsia="Times New Roman"/>
        </w:rPr>
        <w:t>,</w:t>
      </w:r>
      <w:r w:rsidR="00C87404" w:rsidRPr="00CD223E">
        <w:rPr>
          <w:rFonts w:eastAsia="Times New Roman"/>
        </w:rPr>
        <w:t xml:space="preserve"> TO PROVIDE FOR THE IMPOSITION AND TERMINATION OF THE TAX</w:t>
      </w:r>
      <w:r w:rsidRPr="00CD223E">
        <w:rPr>
          <w:rFonts w:eastAsia="Times New Roman"/>
        </w:rPr>
        <w:t>,</w:t>
      </w:r>
      <w:r w:rsidR="00C87404" w:rsidRPr="00CD223E">
        <w:rPr>
          <w:rFonts w:eastAsia="Times New Roman"/>
        </w:rPr>
        <w:t xml:space="preserve"> TO PROVIDE THAT THE DEPARTMENT OF REVENUE SHALL ADMINISTER AND COLLECT THE TAX</w:t>
      </w:r>
      <w:r w:rsidRPr="00CD223E">
        <w:rPr>
          <w:rFonts w:eastAsia="Times New Roman"/>
        </w:rPr>
        <w:t>,</w:t>
      </w:r>
      <w:r w:rsidR="00C87404" w:rsidRPr="00CD223E">
        <w:rPr>
          <w:rFonts w:eastAsia="Times New Roman"/>
        </w:rPr>
        <w:t xml:space="preserve"> TO PROVIDE FOR DISTRIBUTIONS TO COUNTIES AND CONFIDENTIALITY</w:t>
      </w:r>
      <w:r w:rsidRPr="00CD223E">
        <w:rPr>
          <w:rFonts w:eastAsia="Times New Roman"/>
        </w:rPr>
        <w:t>,</w:t>
      </w:r>
      <w:r w:rsidR="00C87404" w:rsidRPr="00CD223E">
        <w:rPr>
          <w:rFonts w:eastAsia="Times New Roman"/>
        </w:rPr>
        <w:t xml:space="preserve"> AND TO PROVIDE FOR UNIDENTIFIED FUNDS, TRANSFERS</w:t>
      </w:r>
      <w:r w:rsidR="003A5E89" w:rsidRPr="00CD223E">
        <w:rPr>
          <w:rFonts w:eastAsia="Times New Roman"/>
        </w:rPr>
        <w:t>,</w:t>
      </w:r>
      <w:r w:rsidR="00C87404" w:rsidRPr="00CD223E">
        <w:rPr>
          <w:rFonts w:eastAsia="Times New Roman"/>
        </w:rPr>
        <w:t xml:space="preserve"> AND SUPPLEMENTAL DISTRIBUTIONS.</w:t>
      </w:r>
      <w:bookmarkEnd w:id="1"/>
    </w:p>
    <w:p w14:paraId="70619F31" w14:textId="60C1B2DD" w:rsidR="00E03729"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Amend Title To Conform</w:t>
      </w:r>
    </w:p>
    <w:p w14:paraId="6ED941F0" w14:textId="77777777" w:rsidR="000D049F"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3AB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2B95CE7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DBF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13EA3F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723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Upstate consists of the 10,000 acre Mountain Bridge Wilderness Area that encompasses the Blue Ridge Escarpment and its vast array of waterfalls, hardwood forests, </w:t>
      </w:r>
      <w:r w:rsidRPr="00CD223E">
        <w:rPr>
          <w:color w:val="000000" w:themeColor="text1"/>
          <w:u w:color="000000" w:themeColor="text1"/>
        </w:rPr>
        <w:lastRenderedPageBreak/>
        <w:t>headwaters, and mountain streams, as well as a diversity of plant and animal life, including the exceptionally rare and endangered bunched arrowhead; and</w:t>
      </w:r>
    </w:p>
    <w:p w14:paraId="075D50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D9146E" w14:textId="4AA9620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Midlands region is home to the sandhills and longleaf pine habitat, which supports over 30 threatened or endangered plant and animal species, including </w:t>
      </w:r>
      <w:r w:rsidR="00E02431">
        <w:rPr>
          <w:color w:val="000000" w:themeColor="text1"/>
          <w:u w:color="000000" w:themeColor="text1"/>
        </w:rPr>
        <w:t xml:space="preserve">the </w:t>
      </w:r>
      <w:r w:rsidRPr="00CD223E">
        <w:rPr>
          <w:color w:val="000000" w:themeColor="text1"/>
          <w:u w:color="000000" w:themeColor="text1"/>
        </w:rPr>
        <w:t>red</w:t>
      </w:r>
      <w:r w:rsidRPr="00CD223E">
        <w:rPr>
          <w:color w:val="000000" w:themeColor="text1"/>
          <w:u w:color="000000" w:themeColor="text1"/>
        </w:rPr>
        <w:noBreakHyphen/>
        <w:t>cockaded woodpecker; and</w:t>
      </w:r>
    </w:p>
    <w:p w14:paraId="1FF18A2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D5A2D" w14:textId="243E9F9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Pee Dee is a region with rich geographic variations, including deep woodlands, a patchwork of timber forests and agricultural fields, black</w:t>
      </w:r>
      <w:r w:rsidRPr="00CD223E">
        <w:rPr>
          <w:color w:val="000000" w:themeColor="text1"/>
          <w:u w:color="000000" w:themeColor="text1"/>
        </w:rPr>
        <w:noBreakHyphen/>
        <w:t xml:space="preserve">water swamps and creeks that intermingle with red rivers and high bluffs, historic sites, and one of the most productive agricultural areas in the </w:t>
      </w:r>
      <w:r w:rsidR="00E02431">
        <w:rPr>
          <w:color w:val="000000" w:themeColor="text1"/>
          <w:u w:color="000000" w:themeColor="text1"/>
        </w:rPr>
        <w:t>S</w:t>
      </w:r>
      <w:r w:rsidRPr="00CD223E">
        <w:rPr>
          <w:color w:val="000000" w:themeColor="text1"/>
          <w:u w:color="000000" w:themeColor="text1"/>
        </w:rPr>
        <w:t xml:space="preserve">tate; and </w:t>
      </w:r>
    </w:p>
    <w:p w14:paraId="028934B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B6EA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quality of life of all South Carolinians is tied to conservation, with homes, businesses, and recreation being drawn to areas with abundant and accessible green space and natural areas; and</w:t>
      </w:r>
    </w:p>
    <w:p w14:paraId="584485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57D35B58" w14:textId="3BD8B7D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according to the Census Bureau, South Carolina is the tenth</w:t>
      </w:r>
      <w:r w:rsidRPr="00CD223E">
        <w:rPr>
          <w:color w:val="000000" w:themeColor="text1"/>
          <w:u w:color="000000" w:themeColor="text1"/>
        </w:rPr>
        <w:noBreakHyphen/>
        <w:t>fastest</w:t>
      </w:r>
      <w:r w:rsidRPr="00CD223E">
        <w:rPr>
          <w:color w:val="000000" w:themeColor="text1"/>
          <w:u w:color="000000" w:themeColor="text1"/>
        </w:rPr>
        <w:noBreakHyphen/>
        <w:t xml:space="preserve">growing </w:t>
      </w:r>
      <w:r w:rsidR="00E02431">
        <w:rPr>
          <w:color w:val="000000" w:themeColor="text1"/>
          <w:u w:color="000000" w:themeColor="text1"/>
        </w:rPr>
        <w:t>S</w:t>
      </w:r>
      <w:r w:rsidRPr="00CD223E">
        <w:rPr>
          <w:color w:val="000000" w:themeColor="text1"/>
          <w:u w:color="000000" w:themeColor="text1"/>
        </w:rPr>
        <w:t xml:space="preserve">tate in the </w:t>
      </w:r>
      <w:r w:rsidR="00E02431">
        <w:rPr>
          <w:color w:val="000000" w:themeColor="text1"/>
          <w:u w:color="000000" w:themeColor="text1"/>
        </w:rPr>
        <w:t>N</w:t>
      </w:r>
      <w:r w:rsidRPr="00CD223E">
        <w:rPr>
          <w:color w:val="000000" w:themeColor="text1"/>
          <w:u w:color="000000" w:themeColor="text1"/>
        </w:rPr>
        <w:t>ation, and in particular, the State contains a number of the fastest</w:t>
      </w:r>
      <w:r w:rsidRPr="00CD223E">
        <w:rPr>
          <w:color w:val="000000" w:themeColor="text1"/>
          <w:u w:color="000000" w:themeColor="text1"/>
        </w:rPr>
        <w:noBreakHyphen/>
        <w:t>growing metropolitan areas in the nation, including Myrtle Beach, York County, and Charleston, and is projected in the coming years to continue experiencing steady population growth and the expansion of urban and suburban land uses; and</w:t>
      </w:r>
    </w:p>
    <w:p w14:paraId="6264354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5CDDB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szCs w:val="20"/>
          <w:u w:color="000000" w:themeColor="text1"/>
        </w:rPr>
        <w:t xml:space="preserve">Whereas, </w:t>
      </w:r>
      <w:r w:rsidRPr="00CD223E">
        <w:rPr>
          <w:color w:val="000000" w:themeColor="text1"/>
          <w:u w:color="000000" w:themeColor="text1"/>
        </w:rPr>
        <w:t>studies conducted by City Explained suggest that the amount of developed land in some regions of South Carolina will increase by 250% by 2040 if current development trends continue; and</w:t>
      </w:r>
    </w:p>
    <w:p w14:paraId="3AB308D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01677CB3" w14:textId="26B18A5A"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although this rapid growth will bring prosperity and new opportunities to South Carolina, it will also put additional pressures on our </w:t>
      </w:r>
      <w:r w:rsidR="00E02431">
        <w:rPr>
          <w:color w:val="000000" w:themeColor="text1"/>
          <w:u w:color="000000" w:themeColor="text1"/>
        </w:rPr>
        <w:t>s</w:t>
      </w:r>
      <w:r w:rsidRPr="00CD223E">
        <w:rPr>
          <w:color w:val="000000" w:themeColor="text1"/>
          <w:u w:color="000000" w:themeColor="text1"/>
        </w:rPr>
        <w:t>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7A2788E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BC411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Whereas, this growth increases the amount of impervious surfaces throughout our State, which in turn creates new runoff and carries 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2619EAB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4D724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there are significant economic benefits that result from protecting land, including tourism and recreation; and</w:t>
      </w:r>
    </w:p>
    <w:p w14:paraId="7524D4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0A1DA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1C1FA1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92CA6D" w14:textId="5C278EC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Southeast United States coast has experienced some of the highest rates of sea</w:t>
      </w:r>
      <w:r w:rsidR="00E02431">
        <w:rPr>
          <w:color w:val="000000" w:themeColor="text1"/>
          <w:u w:color="000000" w:themeColor="text1"/>
        </w:rPr>
        <w:t xml:space="preserve"> </w:t>
      </w:r>
      <w:r w:rsidRPr="00CD223E">
        <w:rPr>
          <w:color w:val="000000" w:themeColor="text1"/>
          <w:u w:color="000000" w:themeColor="text1"/>
        </w:rPr>
        <w:t>level rise and coastal flooding in the world, with some areas losing as much as three feet of bank each year, and additional sea</w:t>
      </w:r>
      <w:r w:rsidR="00E02431">
        <w:rPr>
          <w:color w:val="000000" w:themeColor="text1"/>
          <w:u w:color="000000" w:themeColor="text1"/>
        </w:rPr>
        <w:t xml:space="preserve"> </w:t>
      </w:r>
      <w:r w:rsidRPr="00CD223E">
        <w:rPr>
          <w:color w:val="000000" w:themeColor="text1"/>
          <w:u w:color="000000" w:themeColor="text1"/>
        </w:rPr>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0E6C71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03E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48BC90D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CDBAD" w14:textId="0C3488C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the topography of our </w:t>
      </w:r>
      <w:r w:rsidR="00E02431">
        <w:rPr>
          <w:color w:val="000000" w:themeColor="text1"/>
          <w:u w:color="000000" w:themeColor="text1"/>
        </w:rPr>
        <w:t>S</w:t>
      </w:r>
      <w:r w:rsidRPr="00CD223E">
        <w:rPr>
          <w:color w:val="000000" w:themeColor="text1"/>
          <w:u w:color="000000" w:themeColor="text1"/>
        </w:rPr>
        <w:t>tate, whether the low</w:t>
      </w:r>
      <w:r w:rsidRPr="00CD223E">
        <w:rPr>
          <w:color w:val="000000" w:themeColor="text1"/>
          <w:u w:color="000000" w:themeColor="text1"/>
        </w:rPr>
        <w:noBreakHyphen/>
        <w:t xml:space="preserve">lying topography of our coastal areas or the small incised streams of the Upstate prone to flash flooding and erosion, our </w:t>
      </w:r>
      <w:r w:rsidR="00E02431">
        <w:rPr>
          <w:color w:val="000000" w:themeColor="text1"/>
          <w:u w:color="000000" w:themeColor="text1"/>
        </w:rPr>
        <w:t>s</w:t>
      </w:r>
      <w:r w:rsidRPr="00CD223E">
        <w:rPr>
          <w:color w:val="000000" w:themeColor="text1"/>
          <w:u w:color="000000" w:themeColor="text1"/>
        </w:rPr>
        <w:t xml:space="preserve">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w:t>
      </w:r>
      <w:r w:rsidRPr="00CD223E">
        <w:rPr>
          <w:color w:val="000000" w:themeColor="text1"/>
          <w:u w:color="000000" w:themeColor="text1"/>
        </w:rPr>
        <w:lastRenderedPageBreak/>
        <w:t xml:space="preserve">properties and have imposed substantial burdens on South Carolina taxpayers through </w:t>
      </w:r>
      <w:r w:rsidR="00E02431">
        <w:rPr>
          <w:color w:val="000000" w:themeColor="text1"/>
          <w:u w:color="000000" w:themeColor="text1"/>
        </w:rPr>
        <w:t>g</w:t>
      </w:r>
      <w:r w:rsidRPr="00CD223E">
        <w:rPr>
          <w:color w:val="000000" w:themeColor="text1"/>
          <w:u w:color="000000" w:themeColor="text1"/>
        </w:rPr>
        <w:t xml:space="preserve">eneral </w:t>
      </w:r>
      <w:r w:rsidR="00E02431">
        <w:rPr>
          <w:color w:val="000000" w:themeColor="text1"/>
          <w:u w:color="000000" w:themeColor="text1"/>
        </w:rPr>
        <w:t>f</w:t>
      </w:r>
      <w:r w:rsidRPr="00CD223E">
        <w:rPr>
          <w:color w:val="000000" w:themeColor="text1"/>
          <w:u w:color="000000" w:themeColor="text1"/>
        </w:rPr>
        <w:t>und disbursements; and</w:t>
      </w:r>
    </w:p>
    <w:p w14:paraId="59543A56"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4EE1D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6039C9F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45419" w14:textId="24060E08" w:rsidR="00CA2ECD"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p>
    <w:p w14:paraId="481B1DD2"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53D9DA"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Be it enacted by the General Assembly of the State of South Carolina:</w:t>
      </w:r>
    </w:p>
    <w:p w14:paraId="52D974DC"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A19F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SECTION</w:t>
      </w:r>
      <w:r w:rsidRPr="00CD223E">
        <w:rPr>
          <w:rFonts w:eastAsia="Times New Roman"/>
        </w:rPr>
        <w:tab/>
        <w:t>1.</w:t>
      </w:r>
      <w:r w:rsidRPr="00CD223E">
        <w:rPr>
          <w:rFonts w:eastAsia="Times New Roman"/>
        </w:rPr>
        <w:tab/>
      </w:r>
      <w:r w:rsidRPr="00CD223E">
        <w:rPr>
          <w:color w:val="000000" w:themeColor="text1"/>
          <w:u w:color="000000" w:themeColor="text1"/>
        </w:rPr>
        <w:t>This act must be known and may be cited as the “County Green Space Sales Tax Act”.</w:t>
      </w:r>
    </w:p>
    <w:p w14:paraId="5D02BB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5C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2.</w:t>
      </w:r>
      <w:r w:rsidRPr="00CD223E">
        <w:rPr>
          <w:rFonts w:eastAsia="Times New Roman"/>
        </w:rPr>
        <w:tab/>
        <w:t>Chapter 10, Title 4 of the 1976 Code is amended by adding:</w:t>
      </w:r>
    </w:p>
    <w:p w14:paraId="09E51E4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14:paraId="35C8829C"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“ARTICLE 10</w:t>
      </w:r>
    </w:p>
    <w:p w14:paraId="6847603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29A50"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County Green Space Sales Tax</w:t>
      </w:r>
    </w:p>
    <w:p w14:paraId="3726A65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8F33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D223E">
        <w:rPr>
          <w:rFonts w:eastAsia="Times New Roman"/>
        </w:rPr>
        <w:tab/>
        <w:t>Section 4-10-1010.</w:t>
      </w:r>
      <w:r w:rsidRPr="00CD223E">
        <w:rPr>
          <w:rFonts w:eastAsia="Times New Roman"/>
        </w:rPr>
        <w:tab/>
        <w:t>(A)</w:t>
      </w:r>
      <w:r w:rsidRPr="00CD223E">
        <w:rPr>
          <w:rFonts w:eastAsia="Times New Roman"/>
        </w:rPr>
        <w:tab/>
        <w:t xml:space="preserve">For the purposes of this article, </w:t>
      </w:r>
      <w:r w:rsidRPr="00CD223E">
        <w:t xml:space="preserve">‘preservation procurements’ means </w:t>
      </w:r>
      <w:r w:rsidRPr="00CD223E">
        <w:rPr>
          <w:color w:val="000000" w:themeColor="text1"/>
          <w:u w:color="000000" w:themeColor="text1"/>
        </w:rPr>
        <w:t>procuring open lands or green space for preservation, by and through the acquisition of interests in real property, including:</w:t>
      </w:r>
    </w:p>
    <w:p w14:paraId="182725A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acquisition of fee simple titles;</w:t>
      </w:r>
    </w:p>
    <w:p w14:paraId="30DC32A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conservation easements;</w:t>
      </w:r>
    </w:p>
    <w:p w14:paraId="0A8F6F2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development rights;</w:t>
      </w:r>
    </w:p>
    <w:p w14:paraId="3BA91AF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rights of first refusal;</w:t>
      </w:r>
    </w:p>
    <w:p w14:paraId="617D4F9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r>
      <w:r w:rsidRPr="00CD223E">
        <w:rPr>
          <w:color w:val="000000" w:themeColor="text1"/>
          <w:u w:color="000000" w:themeColor="text1"/>
        </w:rPr>
        <w:tab/>
        <w:t>(5)</w:t>
      </w:r>
      <w:r w:rsidRPr="00CD223E">
        <w:rPr>
          <w:color w:val="000000" w:themeColor="text1"/>
          <w:u w:color="000000" w:themeColor="text1"/>
        </w:rPr>
        <w:tab/>
        <w:t>options;</w:t>
      </w:r>
    </w:p>
    <w:p w14:paraId="1F638BC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(6)</w:t>
      </w:r>
      <w:r w:rsidRPr="00CD223E">
        <w:rPr>
          <w:color w:val="000000" w:themeColor="text1"/>
          <w:u w:color="000000" w:themeColor="text1"/>
        </w:rPr>
        <w:tab/>
        <w:t>leases with options to purchase; and</w:t>
      </w:r>
    </w:p>
    <w:p w14:paraId="48F734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(7)</w:t>
      </w:r>
      <w:r w:rsidRPr="00CD223E">
        <w:rPr>
          <w:color w:val="000000" w:themeColor="text1"/>
          <w:u w:color="000000" w:themeColor="text1"/>
        </w:rPr>
        <w:tab/>
        <w:t>any other interests in real property.</w:t>
      </w:r>
    </w:p>
    <w:p w14:paraId="4EB55E4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(B)(1)</w:t>
      </w:r>
      <w:r w:rsidRPr="00CD223E">
        <w:rPr>
          <w:rFonts w:eastAsia="Times New Roman"/>
        </w:rPr>
        <w:tab/>
      </w:r>
      <w:r w:rsidRPr="00CD223E">
        <w:rPr>
          <w:color w:val="000000" w:themeColor="text1"/>
          <w:u w:color="000000" w:themeColor="text1"/>
        </w:rPr>
        <w:t>Subject to the requirements of this article, a county’s governing body may impose a sales and use tax by ordinance, subject to a referendum, within the county area for preservation procurements.</w:t>
      </w:r>
    </w:p>
    <w:p w14:paraId="1EEFAEC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Revenues collected pursuant to this article may be used to defray debt service on bonds issued to pay for preservation procurements authorized in this article. This authorization is in addition to any other locally imposed sales and use taxes.</w:t>
      </w:r>
    </w:p>
    <w:p w14:paraId="6C0FE27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03D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4-10-1020.</w:t>
      </w:r>
      <w:r w:rsidRPr="00CD223E">
        <w:rPr>
          <w:color w:val="000000" w:themeColor="text1"/>
          <w:u w:color="000000" w:themeColor="text1"/>
        </w:rPr>
        <w:tab/>
        <w:t>(A)</w:t>
      </w:r>
      <w:r w:rsidRPr="00CD223E">
        <w:rPr>
          <w:color w:val="000000" w:themeColor="text1"/>
          <w:u w:color="000000" w:themeColor="text1"/>
        </w:rPr>
        <w:tab/>
        <w:t>The sales and use tax authorized by this article may be imposed by an enacting ordinance of a county’s governing body, subject to referendum approval in the county. An enacting ordinance must specify:</w:t>
      </w:r>
    </w:p>
    <w:p w14:paraId="44EBE0C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281B022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2F2EF73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37CF2A1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the fact that preservation procurements may pertain to real property situated outside of the boundaries of the taxing jurisdiction.</w:t>
      </w:r>
    </w:p>
    <w:p w14:paraId="218F5D4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(B)(1)</w:t>
      </w:r>
      <w:r w:rsidRPr="00CD223E">
        <w:rPr>
          <w:color w:val="000000" w:themeColor="text1"/>
          <w:u w:color="000000" w:themeColor="text1"/>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Subject to item (2), two weeks before a referendum, a county’s election commission must publish in a newspaper of general circulation the question that is to appear on the ballot, with a description of the methods by which the county’s governing body intends to procure open lands and </w:t>
      </w:r>
      <w:r w:rsidRPr="00CD223E">
        <w:rPr>
          <w:color w:val="000000" w:themeColor="text1"/>
          <w:u w:color="000000" w:themeColor="text1"/>
        </w:rPr>
        <w:lastRenderedPageBreak/>
        <w:t>green space for preservation. If the proposed question includes the use of sales taxes to defray debt service on bonds issued to pay the costs of any preservation procurements, then the notice must include a statement indicating the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13FB006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a referendum on the question of imposing the sales and use tax is conducted in an odd</w:t>
      </w:r>
      <w:r w:rsidRPr="00CD223E">
        <w:rPr>
          <w:color w:val="000000" w:themeColor="text1"/>
          <w:u w:color="000000" w:themeColor="text1"/>
        </w:rPr>
        <w:noBreakHyphen/>
        <w:t>numbered year, and it is the only matter being considered at the general election, then six weeks before the referendum, the county’s election commission must publish in a newspaper of general circulation the question that is to appear on the ballot, with a description of the methods by which the county’s governing body intends to procure open lands and green space for preservation.</w:t>
      </w:r>
    </w:p>
    <w:p w14:paraId="1F4A65E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The referendum question to be on the ballot must read substantially as follows:</w:t>
      </w:r>
    </w:p>
    <w:p w14:paraId="0435030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C1D36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26D8B2B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(a)</w:t>
      </w:r>
      <w:r w:rsidRPr="00CD223E">
        <w:rPr>
          <w:color w:val="000000" w:themeColor="text1"/>
          <w:u w:color="000000" w:themeColor="text1"/>
        </w:rPr>
        <w:tab/>
        <w:t>the acquisition of fee simple titles;</w:t>
      </w:r>
    </w:p>
    <w:p w14:paraId="624C360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(b)</w:t>
      </w:r>
      <w:r w:rsidRPr="00CD223E">
        <w:rPr>
          <w:color w:val="000000" w:themeColor="text1"/>
          <w:u w:color="000000" w:themeColor="text1"/>
        </w:rPr>
        <w:tab/>
        <w:t>conservation easements;</w:t>
      </w:r>
    </w:p>
    <w:p w14:paraId="20C2587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(c)</w:t>
      </w:r>
      <w:r w:rsidRPr="00CD223E">
        <w:rPr>
          <w:color w:val="000000" w:themeColor="text1"/>
          <w:u w:color="000000" w:themeColor="text1"/>
        </w:rPr>
        <w:tab/>
        <w:t>development rights;</w:t>
      </w:r>
    </w:p>
    <w:p w14:paraId="5AC8B7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(d)</w:t>
      </w:r>
      <w:r w:rsidRPr="00CD223E">
        <w:rPr>
          <w:color w:val="000000" w:themeColor="text1"/>
          <w:u w:color="000000" w:themeColor="text1"/>
        </w:rPr>
        <w:tab/>
        <w:t>rights of first refusal;</w:t>
      </w:r>
    </w:p>
    <w:p w14:paraId="6128336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(e)</w:t>
      </w:r>
      <w:r w:rsidRPr="00CD223E">
        <w:rPr>
          <w:color w:val="000000" w:themeColor="text1"/>
          <w:u w:color="000000" w:themeColor="text1"/>
        </w:rPr>
        <w:tab/>
        <w:t>options;</w:t>
      </w:r>
    </w:p>
    <w:p w14:paraId="5E48F27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(f)</w:t>
      </w:r>
      <w:r w:rsidRPr="00CD223E">
        <w:rPr>
          <w:color w:val="000000" w:themeColor="text1"/>
          <w:u w:color="000000" w:themeColor="text1"/>
        </w:rPr>
        <w:tab/>
        <w:t>leases with options to purchase; or</w:t>
      </w:r>
    </w:p>
    <w:p w14:paraId="2F8BEA8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(g)</w:t>
      </w:r>
      <w:r w:rsidRPr="00CD223E">
        <w:rPr>
          <w:color w:val="000000" w:themeColor="text1"/>
          <w:u w:color="000000" w:themeColor="text1"/>
        </w:rPr>
        <w:tab/>
        <w:t>any other interests in real property?</w:t>
      </w:r>
    </w:p>
    <w:p w14:paraId="25B1D2B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EE098E"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Yes []</w:t>
      </w:r>
    </w:p>
    <w:p w14:paraId="13F15A37"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No []’</w:t>
      </w:r>
    </w:p>
    <w:p w14:paraId="2D1EAA5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A05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402952A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 xml:space="preserve">All qualified electors desiring to vote in favor of imposing the tax for the stated purposes shall vote ‘yes’, and all qualified electors opposed to levying the tax shall vote ‘no’. If a majority of </w:t>
      </w:r>
      <w:r w:rsidRPr="00CD223E">
        <w:rPr>
          <w:color w:val="000000" w:themeColor="text1"/>
          <w:u w:color="000000" w:themeColor="text1"/>
        </w:rPr>
        <w:lastRenderedPageBreak/>
        <w:t>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governmental entities that would receive the proceeds of the tax in the same proportion as those entities would receive the net proceeds of the tax.</w:t>
      </w:r>
    </w:p>
    <w:p w14:paraId="0C55A78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4D093A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93FB6"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4-10-1030.</w:t>
      </w:r>
      <w:r w:rsidRPr="00CD223E">
        <w:rPr>
          <w:color w:val="000000" w:themeColor="text1"/>
          <w:u w:color="000000" w:themeColor="text1"/>
        </w:rPr>
        <w:tab/>
        <w:t>(A)</w:t>
      </w:r>
      <w:r w:rsidRPr="00CD223E">
        <w:rPr>
          <w:color w:val="000000" w:themeColor="text1"/>
          <w:u w:color="000000" w:themeColor="text1"/>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5BDE1C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terminates the final day of the maximum time period specified for the imposition.</w:t>
      </w:r>
    </w:p>
    <w:p w14:paraId="632C826E" w14:textId="40B109FD"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Amounts collected in excess of the required net proceeds must first be applied, if applicable, to complete the preservation procurements for which the tax was imposed.</w:t>
      </w:r>
    </w:p>
    <w:p w14:paraId="62D917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94B19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4-10-1040.</w:t>
      </w:r>
      <w:r w:rsidRPr="00CD223E">
        <w:rPr>
          <w:color w:val="000000" w:themeColor="text1"/>
          <w:u w:color="000000" w:themeColor="text1"/>
        </w:rPr>
        <w:tab/>
        <w:t>(A)</w:t>
      </w:r>
      <w:r w:rsidRPr="00CD223E">
        <w:rPr>
          <w:color w:val="000000" w:themeColor="text1"/>
          <w:u w:color="000000" w:themeColor="text1"/>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0C6DE2D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 xml:space="preserve">The tax authorized by this article is in addition to all other local sales and use taxes and applies to the gross proceeds of sales in the applicable area that is subject to the tax imposed by Chapter 36, Title 12 and the enforcement provisions of Chapter 54, Title 12. </w:t>
      </w:r>
      <w:r w:rsidRPr="00CD223E">
        <w:rPr>
          <w:color w:val="000000" w:themeColor="text1"/>
          <w:u w:color="000000" w:themeColor="text1"/>
        </w:rPr>
        <w:lastRenderedPageBreak/>
        <w:t>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6EA35A8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 taxpayer required to remit taxes under Article 13, Chapter 36 of Title 12 must identify the county in which the personal property purchased at retail is stored, used, or consumed in this State.</w:t>
      </w:r>
    </w:p>
    <w:p w14:paraId="0BD47E0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 utility is required to report sales in the county in which the consumption of the tangible personal property occurs.</w:t>
      </w:r>
    </w:p>
    <w:p w14:paraId="71F49B8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A taxpayer subject to the tax imposed by Section 12</w:t>
      </w:r>
      <w:r w:rsidRPr="00CD223E">
        <w:rPr>
          <w:color w:val="000000" w:themeColor="text1"/>
          <w:u w:color="000000" w:themeColor="text1"/>
        </w:rPr>
        <w:noBreakHyphen/>
        <w:t>36</w:t>
      </w:r>
      <w:r w:rsidRPr="00CD223E">
        <w:rPr>
          <w:color w:val="000000" w:themeColor="text1"/>
          <w:u w:color="000000" w:themeColor="text1"/>
        </w:rPr>
        <w:noBreakHyphen/>
        <w:t>920, who owns or manages rental units in more than one county, must separately report in his sales tax return the total gross proceeds from business done in each county.</w:t>
      </w:r>
    </w:p>
    <w:p w14:paraId="5000607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(F)</w:t>
      </w:r>
      <w:r w:rsidRPr="00CD223E">
        <w:rPr>
          <w:color w:val="000000" w:themeColor="text1"/>
          <w:u w:color="000000" w:themeColor="text1"/>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98192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(G)</w:t>
      </w:r>
      <w:r w:rsidRPr="00CD223E">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3AEFF07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1617F" w14:textId="41AFB28B"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4-10-1050.</w:t>
      </w:r>
      <w:r w:rsidRPr="00CD223E">
        <w:rPr>
          <w:rFonts w:eastAsia="Times New Roman"/>
        </w:rPr>
        <w:tab/>
      </w:r>
      <w:r w:rsidRPr="00CD223E">
        <w:rPr>
          <w:color w:val="000000" w:themeColor="text1"/>
          <w:u w:color="000000" w:themeColor="text1"/>
        </w:rPr>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CD223E">
        <w:rPr>
          <w:color w:val="000000" w:themeColor="text1"/>
          <w:u w:color="000000" w:themeColor="text1"/>
        </w:rPr>
        <w:noBreakHyphen/>
        <w:t>54</w:t>
      </w:r>
      <w:r w:rsidRPr="00CD223E">
        <w:rPr>
          <w:color w:val="000000" w:themeColor="text1"/>
          <w:u w:color="000000" w:themeColor="text1"/>
        </w:rPr>
        <w:noBreakHyphen/>
        <w:t>240. A person violating this section is subject to the penalties provided in Section 12</w:t>
      </w:r>
      <w:r w:rsidRPr="00CD223E">
        <w:rPr>
          <w:color w:val="000000" w:themeColor="text1"/>
          <w:u w:color="000000" w:themeColor="text1"/>
        </w:rPr>
        <w:noBreakHyphen/>
        <w:t>54</w:t>
      </w:r>
      <w:r w:rsidRPr="00CD223E">
        <w:rPr>
          <w:color w:val="000000" w:themeColor="text1"/>
          <w:u w:color="000000" w:themeColor="text1"/>
        </w:rPr>
        <w:noBreakHyphen/>
        <w:t>240.</w:t>
      </w:r>
    </w:p>
    <w:p w14:paraId="2796199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lastRenderedPageBreak/>
        <w:tab/>
        <w:t>Section 4-10-1060.</w:t>
      </w:r>
      <w:r w:rsidRPr="00CD223E">
        <w:rPr>
          <w:rFonts w:eastAsia="Times New Roman"/>
        </w:rPr>
        <w:tab/>
      </w:r>
      <w:r w:rsidRPr="00CD223E">
        <w:rPr>
          <w:color w:val="000000" w:themeColor="text1"/>
          <w:u w:color="000000" w:themeColor="text1"/>
        </w:rPr>
        <w:t>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46037C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3A49A909" w:rsidR="007F205D" w:rsidRPr="00522CE0"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3.</w:t>
      </w:r>
      <w:r w:rsidRPr="00CD223E">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D75223C" w14:textId="77777777" w:rsidR="00E01A6C" w:rsidRDefault="00E01A6C" w:rsidP="00E01A6C">
      <w:pPr>
        <w:suppressAutoHyphens/>
        <w:jc w:val="both"/>
        <w:rPr>
          <w:rFonts w:eastAsia="Times New Roman"/>
        </w:rPr>
      </w:pPr>
    </w:p>
    <w:sectPr w:rsidR="00E01A6C"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334EF4" w:rsidRDefault="00334EF4" w:rsidP="00522CE0">
      <w:r>
        <w:separator/>
      </w:r>
    </w:p>
  </w:endnote>
  <w:endnote w:type="continuationSeparator" w:id="0">
    <w:p w14:paraId="5056A19E" w14:textId="77777777" w:rsidR="00334EF4" w:rsidRDefault="00334E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61A96F-C36A-4B55-858D-ED4C41A90E47}"/>
    <w:embedBold r:id="rId2" w:fontKey="{AC7551ED-B2AC-4F34-9197-841A6132AB19}"/>
  </w:font>
  <w:font w:name="Calibri">
    <w:panose1 w:val="020F0502020204030204"/>
    <w:charset w:val="00"/>
    <w:family w:val="swiss"/>
    <w:pitch w:val="variable"/>
    <w:sig w:usb0="E0002EFF" w:usb1="C000247B" w:usb2="00000009" w:usb3="00000000" w:csb0="000001FF" w:csb1="00000000"/>
    <w:embedRegular r:id="rId3" w:fontKey="{E923F625-B7FE-4823-9CAC-66F899D8BC72}"/>
    <w:embedBold r:id="rId4" w:fontKey="{289AB677-E5ED-40D6-A492-722599906087}"/>
  </w:font>
  <w:font w:name="Segoe UI">
    <w:panose1 w:val="020B0502040204020203"/>
    <w:charset w:val="00"/>
    <w:family w:val="swiss"/>
    <w:pitch w:val="variable"/>
    <w:sig w:usb0="E4002EFF" w:usb1="C000E47F" w:usb2="00000009" w:usb3="00000000" w:csb0="000001FF" w:csb1="00000000"/>
    <w:embedRegular r:id="rId5" w:fontKey="{796D5DA5-B915-4D24-9DCD-DAB1C26EF1A3}"/>
  </w:font>
  <w:font w:name="Cambria">
    <w:panose1 w:val="02040503050406030204"/>
    <w:charset w:val="00"/>
    <w:family w:val="roman"/>
    <w:pitch w:val="variable"/>
    <w:sig w:usb0="E00006FF" w:usb1="420024FF" w:usb2="02000000" w:usb3="00000000" w:csb0="0000019F" w:csb1="00000000"/>
    <w:embedRegular r:id="rId6" w:fontKey="{821B0A7E-AAB9-4E5F-AE28-778E85ACAA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5F0D2440" w:rsidR="00A832F2" w:rsidRPr="00D47FAC" w:rsidRDefault="00D47FAC" w:rsidP="00D47FAC">
    <w:pPr>
      <w:pStyle w:val="Footer"/>
      <w:tabs>
        <w:tab w:val="clear" w:pos="4680"/>
        <w:tab w:val="clear" w:pos="9360"/>
        <w:tab w:val="center" w:pos="2995"/>
      </w:tabs>
      <w:spacing w:before="120"/>
    </w:pPr>
    <w:r>
      <w:t>[152</w:t>
    </w:r>
    <w:r w:rsidR="00976EA5">
      <w:t>-</w:t>
    </w:r>
    <w:r w:rsidR="00976EA5">
      <w:fldChar w:fldCharType="begin"/>
    </w:r>
    <w:r w:rsidR="00976EA5">
      <w:instrText xml:space="preserve"> PAGE  \* MERGEFORMAT </w:instrText>
    </w:r>
    <w:r w:rsidR="00976EA5">
      <w:fldChar w:fldCharType="separate"/>
    </w:r>
    <w:r w:rsidR="00E01A6C">
      <w:rPr>
        <w:noProof/>
      </w:rPr>
      <w:t>1</w:t>
    </w:r>
    <w:r w:rsidR="00976EA5">
      <w:fldChar w:fldCharType="end"/>
    </w:r>
    <w:r w:rsidR="00976E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7E6A" w14:textId="5E06A939" w:rsidR="00976EA5" w:rsidRPr="00D47FAC" w:rsidRDefault="00976EA5"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E01A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334EF4" w:rsidRDefault="00334EF4" w:rsidP="00522CE0">
      <w:r>
        <w:separator/>
      </w:r>
    </w:p>
  </w:footnote>
  <w:footnote w:type="continuationSeparator" w:id="0">
    <w:p w14:paraId="5B9B5FEF" w14:textId="77777777" w:rsidR="00334EF4" w:rsidRDefault="00334E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72458"/>
    <w:rsid w:val="0007601D"/>
    <w:rsid w:val="000B0720"/>
    <w:rsid w:val="000B5EAF"/>
    <w:rsid w:val="000D049F"/>
    <w:rsid w:val="001315B2"/>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22FB"/>
    <w:rsid w:val="00334EF4"/>
    <w:rsid w:val="00383247"/>
    <w:rsid w:val="003A5E89"/>
    <w:rsid w:val="003A7958"/>
    <w:rsid w:val="003D6E2B"/>
    <w:rsid w:val="003E1252"/>
    <w:rsid w:val="003E7597"/>
    <w:rsid w:val="00413EBF"/>
    <w:rsid w:val="0044020F"/>
    <w:rsid w:val="00450668"/>
    <w:rsid w:val="00454138"/>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F07AC"/>
    <w:rsid w:val="005F1745"/>
    <w:rsid w:val="00606D63"/>
    <w:rsid w:val="00614B5C"/>
    <w:rsid w:val="0064420C"/>
    <w:rsid w:val="006A1802"/>
    <w:rsid w:val="006C0CBB"/>
    <w:rsid w:val="006C21E2"/>
    <w:rsid w:val="006C74EA"/>
    <w:rsid w:val="006F1DF7"/>
    <w:rsid w:val="006F56CF"/>
    <w:rsid w:val="00720D40"/>
    <w:rsid w:val="007318D4"/>
    <w:rsid w:val="007447B4"/>
    <w:rsid w:val="0075244B"/>
    <w:rsid w:val="00765784"/>
    <w:rsid w:val="0078434F"/>
    <w:rsid w:val="007A4390"/>
    <w:rsid w:val="007C7561"/>
    <w:rsid w:val="007D5B2C"/>
    <w:rsid w:val="007E5CB7"/>
    <w:rsid w:val="007F205D"/>
    <w:rsid w:val="008314D2"/>
    <w:rsid w:val="0083299D"/>
    <w:rsid w:val="00870F6F"/>
    <w:rsid w:val="008B2F42"/>
    <w:rsid w:val="008C3697"/>
    <w:rsid w:val="008E185F"/>
    <w:rsid w:val="008F023B"/>
    <w:rsid w:val="00904E16"/>
    <w:rsid w:val="009162B3"/>
    <w:rsid w:val="00927C62"/>
    <w:rsid w:val="0094665C"/>
    <w:rsid w:val="00976EA5"/>
    <w:rsid w:val="009829DD"/>
    <w:rsid w:val="00983951"/>
    <w:rsid w:val="00984124"/>
    <w:rsid w:val="00984640"/>
    <w:rsid w:val="00990549"/>
    <w:rsid w:val="00995C37"/>
    <w:rsid w:val="009C118A"/>
    <w:rsid w:val="009E62BF"/>
    <w:rsid w:val="00A02011"/>
    <w:rsid w:val="00A17F37"/>
    <w:rsid w:val="00A4011E"/>
    <w:rsid w:val="00A812F4"/>
    <w:rsid w:val="00A815C0"/>
    <w:rsid w:val="00A832F2"/>
    <w:rsid w:val="00A86015"/>
    <w:rsid w:val="00A9594E"/>
    <w:rsid w:val="00AE59C8"/>
    <w:rsid w:val="00B10098"/>
    <w:rsid w:val="00B27DEE"/>
    <w:rsid w:val="00B5790D"/>
    <w:rsid w:val="00B67E56"/>
    <w:rsid w:val="00B945C5"/>
    <w:rsid w:val="00BA20EA"/>
    <w:rsid w:val="00BB5AFC"/>
    <w:rsid w:val="00BC026E"/>
    <w:rsid w:val="00BC0A56"/>
    <w:rsid w:val="00BF199B"/>
    <w:rsid w:val="00C45366"/>
    <w:rsid w:val="00C57023"/>
    <w:rsid w:val="00C64CE7"/>
    <w:rsid w:val="00C74052"/>
    <w:rsid w:val="00C87404"/>
    <w:rsid w:val="00C97D73"/>
    <w:rsid w:val="00CA2ECD"/>
    <w:rsid w:val="00CB187A"/>
    <w:rsid w:val="00CB3998"/>
    <w:rsid w:val="00CB7177"/>
    <w:rsid w:val="00CC0EC7"/>
    <w:rsid w:val="00CC251A"/>
    <w:rsid w:val="00CD223E"/>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1A6C"/>
    <w:rsid w:val="00E02431"/>
    <w:rsid w:val="00E03729"/>
    <w:rsid w:val="00E058D3"/>
    <w:rsid w:val="00E12CA0"/>
    <w:rsid w:val="00E20583"/>
    <w:rsid w:val="00E2236D"/>
    <w:rsid w:val="00E76AD9"/>
    <w:rsid w:val="00E86EE2"/>
    <w:rsid w:val="00E91E2F"/>
    <w:rsid w:val="00EA3546"/>
    <w:rsid w:val="00EB47AE"/>
    <w:rsid w:val="00EC34E1"/>
    <w:rsid w:val="00F0234A"/>
    <w:rsid w:val="00F05CF2"/>
    <w:rsid w:val="00F51241"/>
    <w:rsid w:val="00F52959"/>
    <w:rsid w:val="00F55884"/>
    <w:rsid w:val="00F63B02"/>
    <w:rsid w:val="00FB18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56361-7154-434D-A949-3FB14CC09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2989</Words>
  <Characters>15423</Characters>
  <Application>Microsoft Office Word</Application>
  <DocSecurity>0</DocSecurity>
  <Lines>373</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7, 2021) - South Carolina Legislature Online</dc:title>
  <dc:subject/>
  <dc:creator>Sara Parrish</dc:creator>
  <cp:keywords/>
  <dc:description/>
  <cp:lastModifiedBy>Danny Crook</cp:lastModifiedBy>
  <cp:revision>2</cp:revision>
  <cp:lastPrinted>2020-12-01T17:06:00Z</cp:lastPrinted>
  <dcterms:created xsi:type="dcterms:W3CDTF">2021-05-07T16:31:00Z</dcterms:created>
  <dcterms:modified xsi:type="dcterms:W3CDTF">2021-05-07T16:31:00Z</dcterms:modified>
</cp:coreProperties>
</file>