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3A"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DE053A"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w:t>
      </w:r>
      <w:r w:rsidR="00DE053A">
        <w:rPr>
          <w:rFonts w:eastAsia="Times New Roman"/>
        </w:rPr>
        <w:t>, 2022</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597D81" w:rsidRDefault="00597D81"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DE053A" w:rsidRDefault="00DE053A"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Climer, Fanning, Bennett and Allen</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9C6DBE" w:rsidP="00D20616">
      <w:pPr>
        <w:tabs>
          <w:tab w:val="right" w:pos="5933"/>
        </w:tabs>
        <w:suppressAutoHyphens/>
        <w:jc w:val="both"/>
        <w:rPr>
          <w:rFonts w:eastAsia="Times New Roman"/>
        </w:rPr>
      </w:pPr>
      <w:r>
        <w:rPr>
          <w:rFonts w:eastAsia="Times New Roman"/>
        </w:rPr>
        <w:t>S. Printed 3/23</w:t>
      </w:r>
      <w:r w:rsidR="00150370">
        <w:rPr>
          <w:rFonts w:eastAsia="Times New Roman"/>
        </w:rPr>
        <w:t>/22--S</w:t>
      </w:r>
      <w:r w:rsidR="00DE053A">
        <w:rPr>
          <w:rFonts w:eastAsia="Times New Roman"/>
        </w:rPr>
        <w:t>.</w:t>
      </w:r>
      <w:r w:rsidR="00D20616">
        <w:rPr>
          <w:rFonts w:eastAsia="Times New Roman"/>
        </w:rPr>
        <w:tab/>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53A" w:rsidSect="00DE05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bookmarkEnd w:id="1"/>
    </w:p>
    <w:p w:rsidR="00522CE0"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C6DBE"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t>1.</w:t>
      </w:r>
      <w:r w:rsidRPr="004B0455">
        <w:rPr>
          <w:rFonts w:eastAsia="Times New Roman"/>
        </w:rPr>
        <w:tab/>
        <w:t>Article 1, 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1F4CB2"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B0455">
        <w:rPr>
          <w:rFonts w:eastAsia="Times New Roman"/>
        </w:rPr>
        <w:lastRenderedPageBreak/>
        <w:tab/>
      </w:r>
      <w:r w:rsidRPr="001F4CB2">
        <w:rPr>
          <w:rFonts w:eastAsia="Times New Roman"/>
        </w:rPr>
        <w:t>“Section 40-1-75.</w:t>
      </w:r>
      <w:r w:rsidRPr="001F4CB2">
        <w:rPr>
          <w:rFonts w:eastAsia="Times New Roman"/>
        </w:rPr>
        <w:tab/>
        <w:t>(A)(1)</w:t>
      </w:r>
      <w:r w:rsidRPr="001F4CB2">
        <w:rPr>
          <w:rFonts w:eastAsia="Times New Roman"/>
        </w:rPr>
        <w:tab/>
        <w:t xml:space="preserve">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arrests without a subsequent conviction as a justification for denying an applicant a license.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4CB2">
        <w:rPr>
          <w:rFonts w:eastAsia="Times New Roman"/>
        </w:rPr>
        <w:tab/>
      </w:r>
      <w:r w:rsidRPr="001F4CB2">
        <w:rPr>
          <w:rFonts w:eastAsia="Times New Roman"/>
        </w:rPr>
        <w:tab/>
        <w:t>(2)</w:t>
      </w:r>
      <w:r w:rsidRPr="001F4CB2">
        <w:rPr>
          <w:rFonts w:eastAsia="Times New Roman"/>
        </w:rPr>
        <w:tab/>
        <w:t>An applicant who has completed relevant pre-licensing requirements may not be denied a license unless the appropriate regulatory board or commission has given the applicant an opportunity to appear at a hearing to determine the applicant’s fitness for the occupation or profession. The hearing must include specific references to which crimes, if any, the board or commission is considering in relation to the applicant’s fitness. The hearing must be scheduled within ninety days of the appropriate board or commission receiving notice that all relevant pre-licensing requirements have been completed.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length of time since his conviction;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direct relationship of the crime to the ability, capacity, and fitness required to perform the duties and discharge the responsibilities of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any combination of the relevant factors identified in this subsection that the regulatory board or commission determines is necessary considering the totality of the circumstances.</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2</w:t>
      </w:r>
      <w:r w:rsidRPr="004B0455">
        <w:rPr>
          <w:rFonts w:eastAsia="Times New Roman"/>
        </w:rPr>
        <w:t>)</w:t>
      </w:r>
      <w:r w:rsidRPr="004B0455">
        <w:rPr>
          <w:rFonts w:eastAsia="Times New Roman"/>
        </w:rPr>
        <w:tab/>
        <w:t xml:space="preserve">If a regulatory board or commission denies a </w:t>
      </w:r>
      <w:r>
        <w:rPr>
          <w:rFonts w:eastAsia="Times New Roman"/>
        </w:rPr>
        <w:t>license</w:t>
      </w:r>
      <w:r w:rsidRPr="004B0455">
        <w:rPr>
          <w:rFonts w:eastAsia="Times New Roman"/>
        </w:rPr>
        <w:t xml:space="preserve"> application solely or in part because of the applicant’s prior conviction of a crime, then the regulatory board or commission must notify the applicant in writing of its decision. The notice shall provide:</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lastRenderedPageBreak/>
        <w:tab/>
      </w:r>
      <w:r w:rsidRPr="004B0455">
        <w:rPr>
          <w:rFonts w:eastAsia="Times New Roman"/>
        </w:rPr>
        <w:tab/>
      </w:r>
      <w:r w:rsidRPr="004B0455">
        <w:rPr>
          <w:rFonts w:eastAsia="Times New Roman"/>
        </w:rPr>
        <w:tab/>
        <w:t>(a)</w:t>
      </w:r>
      <w:r w:rsidRPr="004B0455">
        <w:rPr>
          <w:rFonts w:eastAsia="Times New Roman"/>
        </w:rPr>
        <w:tab/>
        <w:t>the grounds for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(b)</w:t>
      </w:r>
      <w:r w:rsidRPr="004B0455">
        <w:rPr>
          <w:rFonts w:eastAsia="Times New Roman"/>
        </w:rPr>
        <w:tab/>
        <w:t>notice that the individual has the right to a hearing to challenge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(c)</w:t>
      </w:r>
      <w:r w:rsidRPr="004B0455">
        <w:rPr>
          <w:rFonts w:eastAsia="Times New Roman"/>
        </w:rPr>
        <w:tab/>
        <w:t>the earliest date that the applicant may again apply for licensure;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(d)</w:t>
      </w:r>
      <w:r w:rsidRPr="004B0455">
        <w:rPr>
          <w:rFonts w:eastAsia="Times New Roman"/>
        </w:rPr>
        <w:tab/>
        <w:t>a statement that evidence of rehabilitation may be considered upon reapplication.</w:t>
      </w:r>
      <w:r>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Pr>
          <w:rFonts w:eastAsia="Times New Roman"/>
        </w:rPr>
        <w:t>“</w:t>
      </w:r>
      <w:r w:rsidRPr="004B0455">
        <w:rPr>
          <w:rFonts w:eastAsia="Times New Roman"/>
        </w:rPr>
        <w:t>Section 40-1-77.</w:t>
      </w:r>
      <w:r w:rsidRPr="004B0455">
        <w:rPr>
          <w:rFonts w:eastAsia="Times New Roman"/>
        </w:rPr>
        <w:tab/>
        <w:t>(A)</w:t>
      </w:r>
      <w:r w:rsidRPr="004B0455">
        <w:rPr>
          <w:rFonts w:eastAsia="Times New Roman"/>
        </w:rPr>
        <w:tab/>
      </w:r>
      <w:r>
        <w:rPr>
          <w:rFonts w:eastAsia="Times New Roman"/>
        </w:rPr>
        <w:t>This section may be cited and referred to as the ‘Earn and Learn Act of 2022.’</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For the purposes of this section: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B0455">
        <w:rPr>
          <w:rFonts w:eastAsia="Times New Roman"/>
        </w:rPr>
        <w:t>‘</w:t>
      </w:r>
      <w:r>
        <w:rPr>
          <w:rFonts w:eastAsia="Times New Roman"/>
        </w:rPr>
        <w:t>A</w:t>
      </w:r>
      <w:r w:rsidRPr="004B0455">
        <w:rPr>
          <w:rFonts w:eastAsia="Times New Roman"/>
        </w:rPr>
        <w:t xml:space="preserve">pprenticeship’ means a </w:t>
      </w:r>
      <w:r>
        <w:rPr>
          <w:rFonts w:eastAsia="Times New Roman"/>
        </w:rPr>
        <w:t xml:space="preserve">United States Department of Labor approved registered apprenticeship or industry recognized apprenticeship that encompasses an occupation or profession licensed by a South Carolina regulatory board or commission.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‘Scope of practice’ means the procedures, actions, processes, and work that a person may perform pursuant to a license issued by an occupation’s or</w:t>
      </w:r>
      <w:r w:rsidR="002A3097">
        <w:rPr>
          <w:rFonts w:eastAsia="Times New Roman"/>
        </w:rPr>
        <w:t xml:space="preserve"> profession’s regulatory board.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D</w:t>
      </w:r>
      <w:r w:rsidRPr="004B0455">
        <w:rPr>
          <w:rFonts w:eastAsia="Times New Roman"/>
        </w:rPr>
        <w:t>)</w:t>
      </w:r>
      <w:r w:rsidRPr="004B0455">
        <w:rPr>
          <w:rFonts w:eastAsia="Times New Roman"/>
        </w:rPr>
        <w:tab/>
      </w:r>
      <w:r>
        <w:rPr>
          <w:rFonts w:eastAsia="Times New Roman"/>
        </w:rPr>
        <w:t>A board shall issue a license to an applicant, if the applicant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1</w:t>
      </w:r>
      <w:r w:rsidRPr="004B0455">
        <w:rPr>
          <w:rFonts w:eastAsia="Times New Roman"/>
        </w:rPr>
        <w:t>)</w:t>
      </w:r>
      <w:r w:rsidRPr="004B0455">
        <w:rPr>
          <w:rFonts w:eastAsia="Times New Roman"/>
        </w:rPr>
        <w:tab/>
        <w:t>complete</w:t>
      </w:r>
      <w:r>
        <w:rPr>
          <w:rFonts w:eastAsia="Times New Roman"/>
        </w:rPr>
        <w:t>s</w:t>
      </w:r>
      <w:r w:rsidRPr="004B0455">
        <w:rPr>
          <w:rFonts w:eastAsia="Times New Roman"/>
        </w:rPr>
        <w:t xml:space="preserve"> an apprenticeship </w:t>
      </w:r>
      <w:r>
        <w:rPr>
          <w:rFonts w:eastAsia="Times New Roman"/>
        </w:rPr>
        <w:t xml:space="preserve">in an occupation or profession that has a similar scope of practice, as determined by the board, to an occupation or profession regulated by this State through license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passes requisite examinations;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pays all applicable fees.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lastRenderedPageBreak/>
        <w:tab/>
        <w:t>(</w:t>
      </w:r>
      <w:r>
        <w:rPr>
          <w:rFonts w:eastAsia="Times New Roman"/>
        </w:rPr>
        <w:t>E</w:t>
      </w:r>
      <w:r w:rsidRPr="004B0455">
        <w:rPr>
          <w:rFonts w:eastAsia="Times New Roman"/>
        </w:rPr>
        <w:t>)</w:t>
      </w:r>
      <w:r w:rsidRPr="004B0455">
        <w:rPr>
          <w:rFonts w:eastAsia="Times New Roman"/>
        </w:rPr>
        <w:tab/>
      </w:r>
      <w:r>
        <w:rPr>
          <w:rFonts w:eastAsia="Times New Roman"/>
        </w:rPr>
        <w:t>A license issued pursuant to this section is subject to the same provisions of law governing a license for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F</w:t>
      </w:r>
      <w:r w:rsidRPr="004B0455">
        <w:rPr>
          <w:rFonts w:eastAsia="Times New Roman"/>
        </w:rPr>
        <w:t>)</w:t>
      </w:r>
      <w:r w:rsidRPr="004B0455">
        <w:rPr>
          <w:rFonts w:eastAsia="Times New Roman"/>
        </w:rPr>
        <w:tab/>
      </w:r>
      <w:r>
        <w:rPr>
          <w:rFonts w:eastAsia="Times New Roman"/>
        </w:rPr>
        <w:t>A board shall not require an applicant pursuant to this section to complete an apprenticeship for a greater duration of time than that is required pursuant to federal law</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A board shall promulgate regulations necessary for the implementation of this act.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40-1-140 of the 1976 Code, relating to the effect of prior convictions on license applications for professions and occupations, is repealed.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Pr="00522CE0" w:rsidRDefault="009C6DBE" w:rsidP="009C6D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r>
      <w:r>
        <w:rPr>
          <w:rFonts w:eastAsia="Times New Roman"/>
        </w:rPr>
        <w:t>4</w:t>
      </w:r>
      <w:r w:rsidRPr="004B0455">
        <w:rPr>
          <w:rFonts w:eastAsia="Times New Roman"/>
        </w:rPr>
        <w:t>.</w:t>
      </w:r>
      <w:r w:rsidRPr="004B0455">
        <w:rPr>
          <w:rFonts w:eastAsia="Times New Roman"/>
        </w:rPr>
        <w:tab/>
        <w:t xml:space="preserve">This act takes effect </w:t>
      </w:r>
      <w:r>
        <w:rPr>
          <w:rFonts w:eastAsia="Times New Roman"/>
        </w:rPr>
        <w:t>January 1, 2024</w:t>
      </w:r>
      <w:r w:rsidRPr="004B0455">
        <w:rPr>
          <w:rFonts w:eastAsia="Times New Roman"/>
        </w:rPr>
        <w:t>.</w:t>
      </w:r>
    </w:p>
    <w:p w:rsidR="00E465B1" w:rsidRDefault="008B699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5269" w:rsidRDefault="00295269" w:rsidP="00295269">
      <w:pPr>
        <w:keepNext/>
        <w:keepLines/>
        <w:suppressAutoHyphens/>
        <w:jc w:val="both"/>
        <w:rPr>
          <w:rFonts w:eastAsia="Times New Roman"/>
        </w:rPr>
      </w:pPr>
    </w:p>
    <w:sectPr w:rsidR="00295269" w:rsidSect="00DE05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D81" w:rsidRDefault="00597D81" w:rsidP="00522CE0">
      <w:r>
        <w:separator/>
      </w:r>
    </w:p>
  </w:endnote>
  <w:endnote w:type="continuationSeparator" w:id="0">
    <w:p w:rsidR="00597D81" w:rsidRDefault="0059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5D3FF2-3841-46B1-936D-24D0D3DF910F}"/>
    <w:embedBold r:id="rId2" w:fontKey="{B1379D1C-DE25-407A-AB36-9BADB639E03D}"/>
  </w:font>
  <w:font w:name="Calibri">
    <w:panose1 w:val="020F0502020204030204"/>
    <w:charset w:val="00"/>
    <w:family w:val="swiss"/>
    <w:pitch w:val="variable"/>
    <w:sig w:usb0="E4002EFF" w:usb1="C000247B" w:usb2="00000009" w:usb3="00000000" w:csb0="000001FF" w:csb1="00000000"/>
    <w:embedRegular r:id="rId3" w:fontKey="{9D609938-436D-4F2A-B319-BCD445A8454E}"/>
  </w:font>
  <w:font w:name="Segoe UI">
    <w:panose1 w:val="020B0502040204020203"/>
    <w:charset w:val="00"/>
    <w:family w:val="swiss"/>
    <w:pitch w:val="variable"/>
    <w:sig w:usb0="E4002EFF" w:usb1="C000E47F" w:usb2="00000009" w:usb3="00000000" w:csb0="000001FF" w:csb1="00000000"/>
    <w:embedRegular r:id="rId4" w:fontKey="{F3C8A472-3D4D-4F73-BF26-785AAEB7598D}"/>
  </w:font>
  <w:font w:name="Cambria">
    <w:panose1 w:val="02040503050406030204"/>
    <w:charset w:val="00"/>
    <w:family w:val="roman"/>
    <w:pitch w:val="variable"/>
    <w:sig w:usb0="E00006FF" w:usb1="420024FF" w:usb2="02000000" w:usb3="00000000" w:csb0="0000019F" w:csb1="00000000"/>
    <w:embedRegular r:id="rId5" w:fontKey="{B454A2AA-4BD4-4369-8299-AF06302507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fldChar w:fldCharType="begin"/>
    </w:r>
    <w:r>
      <w:instrText xml:space="preserve"> PAGE  \* MERGEFORMAT </w:instrText>
    </w:r>
    <w:r>
      <w:fldChar w:fldCharType="separate"/>
    </w:r>
    <w:r w:rsidR="0029526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2952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D81" w:rsidRDefault="00597D81" w:rsidP="00522CE0">
      <w:r>
        <w:separator/>
      </w:r>
    </w:p>
  </w:footnote>
  <w:footnote w:type="continuationSeparator" w:id="0">
    <w:p w:rsidR="00597D81" w:rsidRDefault="0059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563A9"/>
    <w:rsid w:val="00072458"/>
    <w:rsid w:val="0007601D"/>
    <w:rsid w:val="000A40AB"/>
    <w:rsid w:val="000B0720"/>
    <w:rsid w:val="000B5EAF"/>
    <w:rsid w:val="001315B2"/>
    <w:rsid w:val="00150370"/>
    <w:rsid w:val="00170561"/>
    <w:rsid w:val="00174988"/>
    <w:rsid w:val="00186AC9"/>
    <w:rsid w:val="00197DF1"/>
    <w:rsid w:val="001B3DD9"/>
    <w:rsid w:val="001B7E5D"/>
    <w:rsid w:val="001D3BAC"/>
    <w:rsid w:val="001F4CB2"/>
    <w:rsid w:val="00216025"/>
    <w:rsid w:val="00245C4E"/>
    <w:rsid w:val="00293FD6"/>
    <w:rsid w:val="00295269"/>
    <w:rsid w:val="002A3097"/>
    <w:rsid w:val="002C1321"/>
    <w:rsid w:val="002C2031"/>
    <w:rsid w:val="002C5896"/>
    <w:rsid w:val="002D3BED"/>
    <w:rsid w:val="002D4BCD"/>
    <w:rsid w:val="00307C2B"/>
    <w:rsid w:val="00315D04"/>
    <w:rsid w:val="00383247"/>
    <w:rsid w:val="003D6E2B"/>
    <w:rsid w:val="003E7597"/>
    <w:rsid w:val="00413EBF"/>
    <w:rsid w:val="00437AD5"/>
    <w:rsid w:val="0044020F"/>
    <w:rsid w:val="00450668"/>
    <w:rsid w:val="00454138"/>
    <w:rsid w:val="004813A2"/>
    <w:rsid w:val="004952FA"/>
    <w:rsid w:val="004B6A22"/>
    <w:rsid w:val="004C3AAF"/>
    <w:rsid w:val="004D7F37"/>
    <w:rsid w:val="00522CE0"/>
    <w:rsid w:val="00541951"/>
    <w:rsid w:val="00552C68"/>
    <w:rsid w:val="00565148"/>
    <w:rsid w:val="00570403"/>
    <w:rsid w:val="00577450"/>
    <w:rsid w:val="00577994"/>
    <w:rsid w:val="00593361"/>
    <w:rsid w:val="00597D81"/>
    <w:rsid w:val="005A413B"/>
    <w:rsid w:val="005A5017"/>
    <w:rsid w:val="005A648C"/>
    <w:rsid w:val="005A6BC7"/>
    <w:rsid w:val="005F07AC"/>
    <w:rsid w:val="005F1745"/>
    <w:rsid w:val="006A1802"/>
    <w:rsid w:val="006C0CBB"/>
    <w:rsid w:val="006C74EA"/>
    <w:rsid w:val="006F56CF"/>
    <w:rsid w:val="00720D40"/>
    <w:rsid w:val="007318D4"/>
    <w:rsid w:val="00765784"/>
    <w:rsid w:val="007979FF"/>
    <w:rsid w:val="007A4390"/>
    <w:rsid w:val="007E5CB7"/>
    <w:rsid w:val="008314D2"/>
    <w:rsid w:val="00870F6F"/>
    <w:rsid w:val="008B2F42"/>
    <w:rsid w:val="008B6992"/>
    <w:rsid w:val="008C3697"/>
    <w:rsid w:val="008E185F"/>
    <w:rsid w:val="008F023B"/>
    <w:rsid w:val="00904E16"/>
    <w:rsid w:val="009162B3"/>
    <w:rsid w:val="00927C62"/>
    <w:rsid w:val="00983951"/>
    <w:rsid w:val="00984124"/>
    <w:rsid w:val="00984640"/>
    <w:rsid w:val="00990C36"/>
    <w:rsid w:val="00995C37"/>
    <w:rsid w:val="009C118A"/>
    <w:rsid w:val="009C6DBE"/>
    <w:rsid w:val="00A02011"/>
    <w:rsid w:val="00A4011E"/>
    <w:rsid w:val="00A44BCC"/>
    <w:rsid w:val="00A86015"/>
    <w:rsid w:val="00A9594E"/>
    <w:rsid w:val="00AE4B90"/>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76D9"/>
    <w:rsid w:val="00CF2C98"/>
    <w:rsid w:val="00D02680"/>
    <w:rsid w:val="00D1088B"/>
    <w:rsid w:val="00D1286F"/>
    <w:rsid w:val="00D14DE6"/>
    <w:rsid w:val="00D156D2"/>
    <w:rsid w:val="00D20616"/>
    <w:rsid w:val="00D35486"/>
    <w:rsid w:val="00D53E29"/>
    <w:rsid w:val="00D86943"/>
    <w:rsid w:val="00D95008"/>
    <w:rsid w:val="00DA3C6B"/>
    <w:rsid w:val="00DA47B9"/>
    <w:rsid w:val="00DE053A"/>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1129</Words>
  <Characters>6094</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2021-2022 Bill 295 Text of Previous Version (Dec. 9, 2020) - South Carolina Legislature Online</vt:lpstr>
    </vt:vector>
  </TitlesOfParts>
  <Company>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(Mar. 23, 2022) - South Carolina Legislature Online</dc:title>
  <dc:subject/>
  <dc:creator>Sara Parrish</dc:creator>
  <cp:keywords/>
  <dc:description/>
  <cp:lastModifiedBy>David Brunson</cp:lastModifiedBy>
  <cp:revision>2</cp:revision>
  <dcterms:created xsi:type="dcterms:W3CDTF">2022-03-23T22:40:00Z</dcterms:created>
  <dcterms:modified xsi:type="dcterms:W3CDTF">2022-03-23T22:40:00Z</dcterms:modified>
</cp:coreProperties>
</file>