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254D" w:rsidRP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B06E63" w:rsidRDefault="00B06E63"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Pr="00B06E63" w:rsidRDefault="00B06E63" w:rsidP="00B06E63">
      <w:pPr>
        <w:tabs>
          <w:tab w:val="right" w:pos="5933"/>
        </w:tabs>
        <w:suppressAutoHyphens/>
      </w:pPr>
      <w:r>
        <w:tab/>
      </w:r>
      <w:r>
        <w:rPr>
          <w:b/>
          <w:sz w:val="36"/>
        </w:rPr>
        <w:t>H. 3166</w:t>
      </w:r>
    </w:p>
    <w:p w:rsidR="00B06E63" w:rsidRDefault="00B06E63"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63" w:rsidRDefault="00B06E63"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Robinson, Thigpen and Cobb</w:t>
      </w:r>
      <w:r>
        <w:noBreakHyphen/>
        <w:t>Hunter</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3166) </w:t>
      </w:r>
      <w:r w:rsidRPr="00B8254D">
        <w:rPr>
          <w:color w:val="000000" w:themeColor="text1"/>
          <w:u w:color="000000" w:themeColor="text1"/>
        </w:rPr>
        <w:t>to amend Chapter 33, Title 44, Code of Laws of South Carolina, 1976, relating to s</w:t>
      </w:r>
      <w:r>
        <w:rPr>
          <w:color w:val="000000" w:themeColor="text1"/>
          <w:u w:color="000000" w:themeColor="text1"/>
        </w:rPr>
        <w:t>ickle cell disease, so as to enact the “Rena Grant Sickle C</w:t>
      </w:r>
      <w:r w:rsidRPr="00B8254D">
        <w:rPr>
          <w:color w:val="000000" w:themeColor="text1"/>
          <w:u w:color="000000" w:themeColor="text1"/>
        </w:rPr>
        <w:t>ell</w:t>
      </w:r>
      <w:r>
        <w:t>, etc., respectfully</w:t>
      </w: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8254D" w:rsidRPr="00532A4C" w:rsidRDefault="00B8254D" w:rsidP="00B8254D">
      <w:pPr>
        <w:rPr>
          <w:b/>
          <w:bCs/>
          <w:szCs w:val="22"/>
        </w:rPr>
      </w:pPr>
      <w:r w:rsidRPr="00532A4C">
        <w:rPr>
          <w:b/>
          <w:bCs/>
          <w:szCs w:val="22"/>
        </w:rPr>
        <w:t>Explanation of Fiscal Impact</w:t>
      </w:r>
    </w:p>
    <w:p w:rsidR="00B8254D" w:rsidRPr="00532A4C" w:rsidRDefault="00B8254D" w:rsidP="00B8254D">
      <w:pPr>
        <w:rPr>
          <w:b/>
          <w:szCs w:val="22"/>
        </w:rPr>
      </w:pPr>
      <w:r w:rsidRPr="00532A4C">
        <w:rPr>
          <w:b/>
          <w:szCs w:val="22"/>
        </w:rPr>
        <w:t>State Expenditure</w:t>
      </w:r>
    </w:p>
    <w:p w:rsidR="00B8254D" w:rsidRPr="00532A4C"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2A4C">
        <w:rPr>
          <w:szCs w:val="22"/>
        </w:rPr>
        <w:t>This bill requires DHEC to develop and maintain a sickle cell disease voluntary patient registry.  Physicians shall notify the patient or caregiver of their right to register.  Registrations are submitted electronically, and the information is confidential and not subject to disclosure under the Freedom of Information Act.  Information disclosures are permitted for physicians to verify the registration, for patients, DHEC personnel, and for qualified health care researchers to collect and study data on the incidence of sickle cell disease and improve patient care.  A patient may revoke registration at any time, and a physician is prohibited from accessing the registry without patient approval.</w:t>
      </w:r>
    </w:p>
    <w:p w:rsidR="00B8254D" w:rsidRPr="00532A4C"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532A4C">
        <w:rPr>
          <w:szCs w:val="22"/>
        </w:rPr>
        <w:t>Additionally, DHEC is authorized to initiate a voluntary sickle cell education and prevention program.  The program shall provide laboratory testing for the sickle cell gene, counseling for carriers of the sickle cell gene, referrals of persons with sickle cell disease to proper medical care, and basic education to the public.</w:t>
      </w:r>
    </w:p>
    <w:p w:rsidR="00B8254D" w:rsidRPr="00532A4C"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2A4C">
        <w:rPr>
          <w:szCs w:val="22"/>
        </w:rPr>
        <w:t>DHEC indicates that to develop and maintain the sickle cell disease voluntary patient registry would involve additional</w:t>
      </w:r>
      <w:r>
        <w:rPr>
          <w:szCs w:val="22"/>
        </w:rPr>
        <w:t xml:space="preserve"> recurring general f</w:t>
      </w:r>
      <w:r w:rsidRPr="00532A4C">
        <w:rPr>
          <w:szCs w:val="22"/>
        </w:rPr>
        <w:t>und expenditures of $334,757 and 2.80 FTE positions.  These additional recurring expenditures include $240,442 for the salary, employer fringe, and supplies for new positions, including a Program Coordinator II, an Epidemiologist II, and an Information Technology Consultant I.  The remaining recurring funds include $1,500 for general office supplies, $3,000 for technical assistance and travel, and $89,815 for the annual maintenance and license of the registry software package.</w:t>
      </w:r>
    </w:p>
    <w:p w:rsidR="00B8254D" w:rsidRPr="00532A4C"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2A4C">
        <w:rPr>
          <w:szCs w:val="22"/>
        </w:rPr>
        <w:t>Non-recur</w:t>
      </w:r>
      <w:r>
        <w:rPr>
          <w:szCs w:val="22"/>
        </w:rPr>
        <w:t>ring general f</w:t>
      </w:r>
      <w:r w:rsidRPr="00532A4C">
        <w:rPr>
          <w:szCs w:val="22"/>
        </w:rPr>
        <w:t>und expenditures in FY 2021-22 would total $75,235.  This amount includes $46,750 for the purchase, modification, implementation, and maintenance of the registry software and computer equipment; $15,000 for project management support; $750 for setup; $4,500 for outreach features associated with software support; $3,750 for training videos; and $4,485 for computer equipment for personnel.</w:t>
      </w:r>
    </w:p>
    <w:p w:rsid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2A4C">
        <w:rPr>
          <w:szCs w:val="22"/>
        </w:rPr>
        <w:t>In total, recurring expenditures amount to $334,757, and non-recurring expenditures amount to $75,235.</w:t>
      </w:r>
      <w:r>
        <w:rPr>
          <w:szCs w:val="22"/>
        </w:rPr>
        <w:t xml:space="preserve">  Thus, the bill will increase general f</w:t>
      </w:r>
      <w:r w:rsidRPr="00532A4C">
        <w:rPr>
          <w:szCs w:val="22"/>
        </w:rPr>
        <w:t>und expenditures of DHEC by $409,992 in FY 2020-21 and by $334,757 in each fiscal year after that.  It will also increase the agency’s FTE positions by 2.80.</w:t>
      </w:r>
    </w:p>
    <w:p w:rsid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B8254D" w:rsidRPr="00B8254D" w:rsidRDefault="00B8254D" w:rsidP="00B82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54D" w:rsidRDefault="00B8254D"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254D" w:rsidSect="00B825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C70" w:rsidRDefault="00070C70"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7D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w:t>
      </w:r>
      <w:r w:rsidR="00720F09">
        <w:rPr>
          <w:color w:val="000000" w:themeColor="text1"/>
          <w:u w:color="000000" w:themeColor="text1"/>
        </w:rPr>
        <w:t xml:space="preserve">RENA GRANT </w:t>
      </w:r>
      <w:r w:rsidRPr="0074629F">
        <w:rPr>
          <w:color w:val="000000" w:themeColor="text1"/>
          <w:u w:color="000000" w:themeColor="text1"/>
        </w:rPr>
        <w:t>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2377EE" w:rsidRPr="002377E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CC16CE"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367DBA"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6CE" w:rsidRPr="00394A6B">
        <w:rPr>
          <w:color w:val="000000" w:themeColor="text1"/>
          <w:u w:color="000000" w:themeColor="text1"/>
        </w:rPr>
        <w:t xml:space="preserve">This act may be </w:t>
      </w:r>
      <w:r w:rsidR="00720F09">
        <w:rPr>
          <w:color w:val="000000" w:themeColor="text1"/>
          <w:u w:color="000000" w:themeColor="text1"/>
        </w:rPr>
        <w:t xml:space="preserve">known and </w:t>
      </w:r>
      <w:r w:rsidR="00CC16CE" w:rsidRPr="00394A6B">
        <w:rPr>
          <w:color w:val="000000" w:themeColor="text1"/>
          <w:u w:color="000000" w:themeColor="text1"/>
        </w:rPr>
        <w:t>cited as the “</w:t>
      </w:r>
      <w:r w:rsidR="00720F09">
        <w:rPr>
          <w:color w:val="000000" w:themeColor="text1"/>
          <w:u w:color="000000" w:themeColor="text1"/>
        </w:rPr>
        <w:t xml:space="preserve">Rena Grant </w:t>
      </w:r>
      <w:r w:rsidR="00CC16CE" w:rsidRPr="00394A6B">
        <w:rPr>
          <w:color w:val="000000" w:themeColor="text1"/>
          <w:u w:color="000000" w:themeColor="text1"/>
        </w:rPr>
        <w:t>Sickle Cell Disease Voluntary Patient Registry Act”.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377EE">
        <w:noBreakHyphen/>
      </w:r>
      <w:r>
        <w:t>33</w:t>
      </w:r>
      <w:r w:rsidR="002377EE">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 xml:space="preserve">By submitting the form to the registry, the physician is affirming that the patient has a diagnosis of sickle cell disease and </w:t>
      </w:r>
      <w:r w:rsidRPr="00C144AD">
        <w:rPr>
          <w:color w:val="000000" w:themeColor="text1"/>
          <w:u w:val="single" w:color="000000" w:themeColor="text1"/>
        </w:rPr>
        <w:lastRenderedPageBreak/>
        <w:t>that the diagnosis was made by the physician or that the physician has reviewed the patient</w:t>
      </w:r>
      <w:r w:rsidR="002377EE" w:rsidRPr="002377EE">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2377EE" w:rsidRPr="002377EE">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 xml:space="preserve">The information maintained in the Sickle Cell Disease Voluntary Patient Registry may not be released to or used </w:t>
      </w:r>
      <w:r w:rsidRPr="00C144AD">
        <w:rPr>
          <w:color w:val="000000" w:themeColor="text1"/>
          <w:u w:val="single" w:color="000000" w:themeColor="text1"/>
        </w:rPr>
        <w:lastRenderedPageBreak/>
        <w:t>by an entity responsible for the licensure, regulation, or discipline of physicians or other health care practitioners for any purpose.</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2377EE" w:rsidRPr="002377EE">
        <w:rPr>
          <w:color w:val="000000" w:themeColor="text1"/>
          <w:u w:val="single" w:color="000000" w:themeColor="text1"/>
        </w:rPr>
        <w:t>’</w:t>
      </w:r>
      <w:r w:rsidRPr="00C144AD">
        <w:rPr>
          <w:color w:val="000000" w:themeColor="text1"/>
          <w:u w:val="single" w:color="000000" w:themeColor="text1"/>
        </w:rPr>
        <w:t>s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r w:rsidR="00367DBA">
        <w:t>.</w:t>
      </w:r>
    </w:p>
    <w:p w:rsidR="00232F22" w:rsidRDefault="00237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173" w:rsidRDefault="00326173" w:rsidP="00326173">
      <w:pPr>
        <w:suppressAutoHyphens/>
      </w:pPr>
    </w:p>
    <w:sectPr w:rsidR="00326173" w:rsidSect="00B825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DBA" w:rsidRDefault="00367DBA" w:rsidP="009F0C77">
      <w:r>
        <w:separator/>
      </w:r>
    </w:p>
  </w:endnote>
  <w:endnote w:type="continuationSeparator" w:id="0">
    <w:p w:rsidR="00367DBA" w:rsidRDefault="00367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41B686-0E30-48B0-9F5F-47A6E33E668D}"/>
    <w:embedBold r:id="rId2" w:fontKey="{2A5AE790-55D4-499F-AA8C-CAC3D0D18F8A}"/>
  </w:font>
  <w:font w:name="Calibri">
    <w:panose1 w:val="020F0502020204030204"/>
    <w:charset w:val="00"/>
    <w:family w:val="swiss"/>
    <w:pitch w:val="variable"/>
    <w:sig w:usb0="E0002EFF" w:usb1="C000247B" w:usb2="00000009" w:usb3="00000000" w:csb0="000001FF" w:csb1="00000000"/>
    <w:embedRegular r:id="rId3" w:fontKey="{860F45FC-8AB2-4C43-AE94-424A0B4BB881}"/>
  </w:font>
  <w:font w:name="Cambria">
    <w:panose1 w:val="02040503050406030204"/>
    <w:charset w:val="00"/>
    <w:family w:val="roman"/>
    <w:pitch w:val="variable"/>
    <w:sig w:usb0="E00006FF" w:usb1="420024FF" w:usb2="02000000" w:usb3="00000000" w:csb0="0000019F" w:csb1="00000000"/>
    <w:embedRegular r:id="rId4" w:fontKey="{023BA78B-2E88-4993-B5D7-BD6F1E167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F22" w:rsidRPr="00070C70" w:rsidRDefault="00070C70" w:rsidP="00070C70">
    <w:pPr>
      <w:pStyle w:val="Footer"/>
      <w:tabs>
        <w:tab w:val="clear" w:pos="4680"/>
        <w:tab w:val="clear" w:pos="9360"/>
        <w:tab w:val="center" w:pos="2995"/>
      </w:tabs>
      <w:spacing w:before="120"/>
    </w:pPr>
    <w:r>
      <w:t>[3166</w:t>
    </w:r>
    <w:r w:rsidR="00B8254D">
      <w:t>-</w:t>
    </w:r>
    <w:r w:rsidR="00B8254D">
      <w:fldChar w:fldCharType="begin"/>
    </w:r>
    <w:r w:rsidR="00B8254D">
      <w:instrText xml:space="preserve"> PAGE  \* MERGEFORMAT </w:instrText>
    </w:r>
    <w:r w:rsidR="00B8254D">
      <w:fldChar w:fldCharType="separate"/>
    </w:r>
    <w:r w:rsidR="00326173">
      <w:rPr>
        <w:noProof/>
      </w:rPr>
      <w:t>2</w:t>
    </w:r>
    <w:r w:rsidR="00B8254D">
      <w:fldChar w:fldCharType="end"/>
    </w:r>
    <w:r w:rsidR="00B825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4D" w:rsidRPr="00070C70" w:rsidRDefault="00B8254D" w:rsidP="00070C70">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3261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DBA" w:rsidRDefault="00367DBA" w:rsidP="009F0C77">
      <w:r>
        <w:separator/>
      </w:r>
    </w:p>
  </w:footnote>
  <w:footnote w:type="continuationSeparator" w:id="0">
    <w:p w:rsidR="00367DBA" w:rsidRDefault="00367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4VR21"/>
    <w:docVar w:name="CoverBillType" w:val="b"/>
    <w:docVar w:name="DocPath" w:val="L:\Council\bills\CC\15824VR21.DOCX"/>
    <w:docVar w:name="dvBillNumber" w:val="3166"/>
    <w:docVar w:name="dvBillNumberPrefix" w:val="H. "/>
    <w:docVar w:name="dvOriginalBody" w:val="House"/>
    <w:docVar w:name="dvSteno" w:val="CC"/>
    <w:docVar w:name="NameofBody" w:val="h"/>
    <w:docVar w:name="vGroup2" w:val="Council"/>
  </w:docVars>
  <w:rsids>
    <w:rsidRoot w:val="00367DBA"/>
    <w:rsid w:val="00011869"/>
    <w:rsid w:val="00015CD6"/>
    <w:rsid w:val="00070C70"/>
    <w:rsid w:val="000853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F22"/>
    <w:rsid w:val="002377EE"/>
    <w:rsid w:val="00250967"/>
    <w:rsid w:val="002543C8"/>
    <w:rsid w:val="0025541D"/>
    <w:rsid w:val="00284AAE"/>
    <w:rsid w:val="002E5912"/>
    <w:rsid w:val="00301B21"/>
    <w:rsid w:val="00325348"/>
    <w:rsid w:val="00326173"/>
    <w:rsid w:val="0032732C"/>
    <w:rsid w:val="00336AD0"/>
    <w:rsid w:val="00367DB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F09"/>
    <w:rsid w:val="00734F00"/>
    <w:rsid w:val="00736959"/>
    <w:rsid w:val="007A70AE"/>
    <w:rsid w:val="008362E8"/>
    <w:rsid w:val="0085786E"/>
    <w:rsid w:val="008A1768"/>
    <w:rsid w:val="008A489F"/>
    <w:rsid w:val="008F0F33"/>
    <w:rsid w:val="008F4429"/>
    <w:rsid w:val="0094021A"/>
    <w:rsid w:val="00954D75"/>
    <w:rsid w:val="009B44AF"/>
    <w:rsid w:val="009C6A0B"/>
    <w:rsid w:val="009D5066"/>
    <w:rsid w:val="009F0C77"/>
    <w:rsid w:val="009F4DD1"/>
    <w:rsid w:val="00A02543"/>
    <w:rsid w:val="00A41684"/>
    <w:rsid w:val="00A64E80"/>
    <w:rsid w:val="00A72BCD"/>
    <w:rsid w:val="00A741D9"/>
    <w:rsid w:val="00A833AB"/>
    <w:rsid w:val="00A9741D"/>
    <w:rsid w:val="00AC34A2"/>
    <w:rsid w:val="00AD1C9A"/>
    <w:rsid w:val="00AD4B17"/>
    <w:rsid w:val="00B06E63"/>
    <w:rsid w:val="00B412D4"/>
    <w:rsid w:val="00B64FFF"/>
    <w:rsid w:val="00B8254D"/>
    <w:rsid w:val="00BE3C22"/>
    <w:rsid w:val="00C0345E"/>
    <w:rsid w:val="00C21ABE"/>
    <w:rsid w:val="00C31C95"/>
    <w:rsid w:val="00C3483A"/>
    <w:rsid w:val="00C74E9D"/>
    <w:rsid w:val="00C826DD"/>
    <w:rsid w:val="00C82FD3"/>
    <w:rsid w:val="00C92819"/>
    <w:rsid w:val="00CC16CE"/>
    <w:rsid w:val="00CC6B7B"/>
    <w:rsid w:val="00CD2089"/>
    <w:rsid w:val="00CE32E9"/>
    <w:rsid w:val="00D364C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02BEB-5880-41F4-B732-C8169D5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0FBA9-6B3D-43F1-BF29-59E6722AA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1865</Words>
  <Characters>10283</Characters>
  <Application>Microsoft Office Word</Application>
  <DocSecurity>0</DocSecurity>
  <Lines>268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3166 Text of Previous Version (Feb. 25, 2021) - South Carolina Legislature Online</dc:title>
  <dc:creator>Chris Charlton</dc:creator>
  <cp:lastModifiedBy>Danny Crook</cp:lastModifiedBy>
  <cp:revision>2</cp:revision>
  <dcterms:created xsi:type="dcterms:W3CDTF">2021-02-25T19:22:00Z</dcterms:created>
  <dcterms:modified xsi:type="dcterms:W3CDTF">2021-02-25T19:22:00Z</dcterms:modified>
</cp:coreProperties>
</file>