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C36" w:rsidRDefault="008D7270"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AMENDED</w:t>
      </w:r>
    </w:p>
    <w:p w:rsidR="008D7270" w:rsidRDefault="008D7270"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May 12, 2021</w:t>
      </w:r>
    </w:p>
    <w:p w:rsidR="008D7270" w:rsidRDefault="008D7270"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Pr="007B7C36" w:rsidRDefault="007B7C36" w:rsidP="007B7C36">
      <w:pPr>
        <w:tabs>
          <w:tab w:val="right" w:pos="5933"/>
        </w:tabs>
        <w:jc w:val="left"/>
      </w:pPr>
      <w:r>
        <w:tab/>
      </w:r>
      <w:r>
        <w:rPr>
          <w:b/>
          <w:sz w:val="36"/>
        </w:rPr>
        <w:t>H. 3444</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by Reps. Lucas, McGarry, Burns, Haddon, Pope, McCravy, Forrest, Hosey, Caskey, McGinnis, Hixon, Hewitt, Bailey, W. Newton, Herbkersman, J.E. Johnson, Brittain, Erickson, Bradley, B. Newton, Fry, Crawford, S. Williams, Taylor, Huggins, Bryant, Blackwell and M.M. Smith</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8D7270" w:rsidP="00251C37">
      <w:pPr>
        <w:tabs>
          <w:tab w:val="right" w:pos="5933"/>
        </w:tabs>
        <w:jc w:val="left"/>
      </w:pPr>
      <w:r>
        <w:t>S. Printed 5/12</w:t>
      </w:r>
      <w:r w:rsidR="007B7C36">
        <w:t>/21--S.</w:t>
      </w:r>
      <w:r w:rsidR="00251C37">
        <w:tab/>
        <w:t>[SEC 5/13/21 12:43 PM]</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Read the first time March 11, 2021.</w:t>
      </w:r>
    </w:p>
    <w:p w:rsidR="007B7C36" w:rsidRPr="007B7C36" w:rsidRDefault="007B7C36" w:rsidP="007B7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B7C36" w:rsidRDefault="007B7C36"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474" w:rsidRDefault="00AE6474"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6474" w:rsidSect="00AE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320" w:rsidRDefault="00463320"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074B" w:rsidRDefault="0055074B" w:rsidP="00550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78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0E73">
        <w:rPr>
          <w:color w:val="000000" w:themeColor="text1"/>
          <w:u w:color="000000" w:themeColor="text1"/>
        </w:rPr>
        <w:t>TO AMEND SECTION 7</w:t>
      </w:r>
      <w:r w:rsidR="005167C6">
        <w:rPr>
          <w:color w:val="000000" w:themeColor="text1"/>
          <w:u w:color="000000" w:themeColor="text1"/>
        </w:rPr>
        <w:noBreakHyphen/>
      </w:r>
      <w:r w:rsidRPr="00A30E73">
        <w:rPr>
          <w:color w:val="000000" w:themeColor="text1"/>
          <w:u w:color="000000" w:themeColor="text1"/>
        </w:rPr>
        <w:t>3</w:t>
      </w:r>
      <w:r w:rsidR="005167C6">
        <w:rPr>
          <w:color w:val="000000" w:themeColor="text1"/>
          <w:u w:color="000000" w:themeColor="text1"/>
        </w:rPr>
        <w:noBreakHyphen/>
      </w:r>
      <w:r w:rsidRPr="00A30E73">
        <w:rPr>
          <w:color w:val="000000" w:themeColor="text1"/>
          <w:u w:color="000000" w:themeColor="text1"/>
        </w:rPr>
        <w:t>10, CODE OF LAWS OF SOUTH CAROLINA, 1976, RELATING TO THE CREATION, COMPOSITION, POWERS, AND DUTIES OF THE STATE ELECTION COMMISSION, SO AS TO RECONSTITUTE THE STATE ELECTION COMMISSION AND REVISE THE COMMISSION</w:t>
      </w:r>
      <w:r w:rsidR="005167C6" w:rsidRPr="005167C6">
        <w:rPr>
          <w:color w:val="000000" w:themeColor="text1"/>
          <w:u w:color="000000" w:themeColor="text1"/>
        </w:rPr>
        <w:t>’</w:t>
      </w:r>
      <w:r w:rsidRPr="00A30E73">
        <w:rPr>
          <w:color w:val="000000" w:themeColor="text1"/>
          <w:u w:color="000000" w:themeColor="text1"/>
        </w:rPr>
        <w:t>S COMPOSITION, POWERS, AND DUTIES; AND TO AMEND SECTIONS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70 AND 7</w:t>
      </w:r>
      <w:r w:rsidR="005167C6">
        <w:rPr>
          <w:color w:val="000000" w:themeColor="text1"/>
          <w:u w:color="000000" w:themeColor="text1"/>
        </w:rPr>
        <w:noBreakHyphen/>
      </w:r>
      <w:r w:rsidRPr="00A30E73">
        <w:rPr>
          <w:color w:val="000000" w:themeColor="text1"/>
          <w:u w:color="000000" w:themeColor="text1"/>
        </w:rPr>
        <w:t>17</w:t>
      </w:r>
      <w:r w:rsidR="005167C6">
        <w:rPr>
          <w:color w:val="000000" w:themeColor="text1"/>
          <w:u w:color="000000" w:themeColor="text1"/>
        </w:rPr>
        <w:noBreakHyphen/>
      </w:r>
      <w:r w:rsidRPr="00A30E73">
        <w:rPr>
          <w:color w:val="000000" w:themeColor="text1"/>
          <w:u w:color="000000" w:themeColor="text1"/>
        </w:rPr>
        <w:t>220, BOTH RELATING TO MEETINGS OF THE STATE BOARD, SO AS TO MAKE CONFORMING CHANGES.</w:t>
      </w:r>
      <w:bookmarkEnd w:id="1"/>
    </w:p>
    <w:p w:rsidR="00FF487F" w:rsidRDefault="008D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D7270" w:rsidRDefault="008D72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78FD" w:rsidRDefault="00CE78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10E2A">
        <w:rPr>
          <w:snapToGrid w:val="0"/>
        </w:rPr>
        <w:t>SECTION</w:t>
      </w:r>
      <w:r w:rsidRPr="00A10E2A">
        <w:rPr>
          <w:snapToGrid w:val="0"/>
        </w:rPr>
        <w:tab/>
        <w:t>1.</w:t>
      </w:r>
      <w:r w:rsidRPr="00A10E2A">
        <w:rPr>
          <w:snapToGrid w:val="0"/>
        </w:rPr>
        <w:tab/>
        <w:t xml:space="preserve">Section 7-3-25 of the 1976 Code </w:t>
      </w:r>
      <w:r>
        <w:rPr>
          <w:snapToGrid w:val="0"/>
        </w:rPr>
        <w:t>is</w:t>
      </w:r>
      <w:r w:rsidRPr="00A10E2A">
        <w:rPr>
          <w:snapToGrid w:val="0"/>
        </w:rPr>
        <w:t xml:space="preserve"> amended to read: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Pr>
          <w:rFonts w:eastAsia="Calibri"/>
          <w:lang w:val="en-PH"/>
        </w:rPr>
        <w:t>“</w:t>
      </w:r>
      <w:r w:rsidRPr="00A10E2A">
        <w:rPr>
          <w:rFonts w:eastAsia="Calibri"/>
          <w:lang w:val="en-PH"/>
        </w:rPr>
        <w:t>Section 7</w:t>
      </w:r>
      <w:r w:rsidRPr="00A10E2A">
        <w:rPr>
          <w:rFonts w:eastAsia="Calibri"/>
          <w:lang w:val="en-PH"/>
        </w:rPr>
        <w:noBreakHyphen/>
        <w:t>3</w:t>
      </w:r>
      <w:r w:rsidRPr="00A10E2A">
        <w:rPr>
          <w:rFonts w:eastAsia="Calibri"/>
          <w:lang w:val="en-PH"/>
        </w:rPr>
        <w:noBreakHyphen/>
        <w:t>25.</w:t>
      </w:r>
      <w:r w:rsidRPr="00A10E2A">
        <w:rPr>
          <w:rFonts w:eastAsia="Calibri"/>
          <w:lang w:val="en-PH"/>
        </w:rPr>
        <w:tab/>
        <w:t>(A)</w:t>
      </w:r>
      <w:r w:rsidRPr="00A10E2A">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A10E2A">
        <w:rPr>
          <w:rFonts w:eastAsia="Calibri"/>
          <w:lang w:val="en-PH"/>
        </w:rPr>
        <w:noBreakHyphen/>
        <w:t>3</w:t>
      </w:r>
      <w:r w:rsidRPr="00A10E2A">
        <w:rPr>
          <w:rFonts w:eastAsia="Calibri"/>
          <w:lang w:val="en-PH"/>
        </w:rPr>
        <w:noBreakHyphen/>
        <w:t>20(C)(1)</w:t>
      </w:r>
      <w:r w:rsidRPr="00747F2D">
        <w:rPr>
          <w:rFonts w:eastAsia="Calibri"/>
          <w:lang w:val="en-PH"/>
        </w:rPr>
        <w:t xml:space="preserve"> </w:t>
      </w:r>
      <w:r w:rsidRPr="00A10E2A">
        <w:rPr>
          <w:rFonts w:eastAsia="Calibri"/>
          <w:u w:val="single"/>
          <w:lang w:val="en-PH"/>
        </w:rPr>
        <w:t>and (2)</w:t>
      </w:r>
      <w:r w:rsidRPr="00A10E2A">
        <w:rPr>
          <w:rFonts w:eastAsia="Calibri"/>
          <w:lang w:val="en-PH"/>
        </w:rPr>
        <w:t>, the county board to the extent necessary to:</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747F2D">
        <w:rPr>
          <w:rFonts w:eastAsia="Calibri"/>
          <w:lang w:val="en-PH"/>
        </w:rPr>
        <w:t>(1)</w:t>
      </w:r>
      <w:r w:rsidRPr="00A10E2A">
        <w:rPr>
          <w:rFonts w:eastAsia="Calibri"/>
          <w:lang w:val="en-PH"/>
        </w:rPr>
        <w:tab/>
        <w:t>identify the failure to comply with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747F2D">
        <w:rPr>
          <w:rFonts w:eastAsia="Calibri"/>
          <w:lang w:val="en-PH"/>
        </w:rPr>
        <w:t>(2)</w:t>
      </w:r>
      <w:r w:rsidRPr="00A10E2A">
        <w:rPr>
          <w:rFonts w:eastAsia="Calibri"/>
          <w:lang w:val="en-PH"/>
        </w:rPr>
        <w:tab/>
        <w:t>establish a plan to correct the failure; and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747F2D">
        <w:rPr>
          <w:rFonts w:eastAsia="Calibri"/>
          <w:lang w:val="en-PH"/>
        </w:rPr>
        <w:t>(3)</w:t>
      </w:r>
      <w:r w:rsidRPr="00A10E2A">
        <w:rPr>
          <w:rFonts w:eastAsia="Calibri"/>
          <w:lang w:val="en-PH"/>
        </w:rPr>
        <w:tab/>
        <w:t xml:space="preserve">implement the plan to correct the failure. The officials and employees of the State Election Commission and the county board must work together, in good faith, to remedy the failure of the </w:t>
      </w:r>
      <w:r w:rsidRPr="00A10E2A">
        <w:rPr>
          <w:rFonts w:eastAsia="Calibri"/>
          <w:lang w:val="en-PH"/>
        </w:rPr>
        <w:lastRenderedPageBreak/>
        <w:t xml:space="preserve">county board to adhere to state or federal law </w:t>
      </w:r>
      <w:r w:rsidRPr="00A10E2A">
        <w:rPr>
          <w:rFonts w:eastAsia="Calibri"/>
          <w:u w:val="single"/>
          <w:lang w:val="en-PH"/>
        </w:rPr>
        <w:t xml:space="preserve">or State Election Commission policies, procedures,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t>(B)</w:t>
      </w:r>
      <w:r w:rsidRPr="00A10E2A">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r w:rsidRPr="00A10E2A">
        <w:rPr>
          <w:rFonts w:eastAsia="Calibri"/>
          <w:lang w:val="en-PH"/>
        </w:rPr>
        <w:tab/>
        <w:t>(C)</w:t>
      </w:r>
      <w:r w:rsidRPr="00A10E2A">
        <w:rPr>
          <w:rFonts w:eastAsia="Calibri"/>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A10E2A">
        <w:rPr>
          <w:rFonts w:eastAsia="Calibri"/>
          <w:u w:val="single"/>
          <w:lang w:val="en-PH"/>
        </w:rPr>
        <w:t>,</w:t>
      </w:r>
      <w:r w:rsidRPr="00A10E2A">
        <w:rPr>
          <w:rFonts w:eastAsia="Calibri"/>
          <w:lang w:val="en-PH"/>
        </w:rPr>
        <w:t xml:space="preserve"> </w:t>
      </w:r>
      <w:r w:rsidRPr="00A10E2A">
        <w:rPr>
          <w:rFonts w:eastAsia="Calibri"/>
          <w:strike/>
          <w:lang w:val="en-PH"/>
        </w:rPr>
        <w:t>and</w:t>
      </w:r>
      <w:r w:rsidRPr="00A10E2A">
        <w:rPr>
          <w:rFonts w:eastAsia="Calibri"/>
          <w:lang w:val="en-PH"/>
        </w:rPr>
        <w:t xml:space="preserve"> procedures</w:t>
      </w:r>
      <w:r w:rsidRPr="00A10E2A">
        <w:rPr>
          <w:rFonts w:eastAsia="Calibri"/>
          <w:u w:val="single"/>
          <w:lang w:val="en-PH"/>
        </w:rPr>
        <w:t xml:space="preserve">, </w:t>
      </w:r>
      <w:r>
        <w:rPr>
          <w:rFonts w:eastAsia="Calibri"/>
          <w:u w:val="single"/>
          <w:lang w:val="en-PH"/>
        </w:rPr>
        <w:t>or</w:t>
      </w:r>
      <w:r w:rsidRPr="00A10E2A">
        <w:rPr>
          <w:rFonts w:eastAsia="Calibri"/>
          <w:u w:val="single"/>
          <w:lang w:val="en-PH"/>
        </w:rPr>
        <w:t xml:space="preserve"> standardized processes</w:t>
      </w:r>
      <w:r w:rsidRPr="00A10E2A">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E2A">
        <w:t>SECTION</w:t>
      </w:r>
      <w:r w:rsidRPr="00A10E2A">
        <w:tab/>
        <w:t>2.</w:t>
      </w:r>
      <w:r w:rsidRPr="00A10E2A">
        <w:tab/>
        <w:t>Chapter 1, Title 7 of the 1976 Code is amended by adding:</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10E2A">
        <w:rPr>
          <w:u w:color="000000" w:themeColor="text1"/>
        </w:rPr>
        <w:tab/>
        <w:t>“Section 7</w:t>
      </w:r>
      <w:r w:rsidRPr="00A10E2A">
        <w:rPr>
          <w:u w:color="000000" w:themeColor="text1"/>
        </w:rPr>
        <w:noBreakHyphen/>
        <w:t>1</w:t>
      </w:r>
      <w:r w:rsidRPr="00A10E2A">
        <w:rPr>
          <w:u w:color="000000" w:themeColor="text1"/>
        </w:rPr>
        <w:noBreakHyphen/>
        <w:t>110.</w:t>
      </w:r>
      <w:r w:rsidRPr="00A10E2A">
        <w:rPr>
          <w:u w:color="000000" w:themeColor="text1"/>
        </w:rPr>
        <w:tab/>
        <w:t>(A)</w:t>
      </w:r>
      <w:r w:rsidRPr="00A10E2A">
        <w:rPr>
          <w:u w:color="000000" w:themeColor="text1"/>
        </w:rPr>
        <w:tab/>
        <w:t xml:space="preserve">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w:t>
      </w:r>
      <w:r w:rsidRPr="00A10E2A">
        <w:t>manner in which an election is conducted.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(B)</w:t>
      </w:r>
      <w:r w:rsidRPr="00A10E2A">
        <w:rPr>
          <w:u w:color="000000" w:themeColor="text1"/>
        </w:rPr>
        <w:tab/>
        <w:t xml:space="preserve">In a federal court action that challenges the validity of an election law, an election policy, or the </w:t>
      </w:r>
      <w:r w:rsidRPr="00A10E2A">
        <w:t>manner in which an election is conducted,</w:t>
      </w:r>
      <w:r w:rsidRPr="00A10E2A">
        <w:rPr>
          <w:u w:color="000000" w:themeColor="text1"/>
        </w:rPr>
        <w:t xml:space="preserve"> the President of the Senate, on behalf of the Senate, and the Speaker of the House of Representatives, on behalf of the </w:t>
      </w:r>
      <w:r w:rsidRPr="00A10E2A">
        <w:rPr>
          <w:u w:color="000000" w:themeColor="text1"/>
        </w:rPr>
        <w:lastRenderedPageBreak/>
        <w:t>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(C)</w:t>
      </w:r>
      <w:r w:rsidRPr="00A10E2A">
        <w:rPr>
          <w:u w:color="000000" w:themeColor="text1"/>
        </w:rPr>
        <w:tab/>
        <w:t xml:space="preserve">A federal court presiding over an action that challenges the validity of an election law, an election policy, or the </w:t>
      </w:r>
      <w:r w:rsidRPr="00A10E2A">
        <w:t xml:space="preserve">manner in which an election is conducted </w:t>
      </w:r>
      <w:r w:rsidRPr="00A10E2A">
        <w:rPr>
          <w:u w:color="000000" w:themeColor="text1"/>
        </w:rPr>
        <w:t>is requested to allow the President, on behalf of the Senate, and the Speaker of the House of Representatives, on behalf of the House of Representatives, to intervene in any such action as a party.</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(D)</w:t>
      </w:r>
      <w:r w:rsidRPr="00A10E2A">
        <w:rPr>
          <w:u w:color="000000" w:themeColor="text1"/>
        </w:rPr>
        <w:tab/>
      </w:r>
      <w:r w:rsidRPr="00A10E2A">
        <w:t xml:space="preserve">The State Election Commission and the Attorney General </w:t>
      </w:r>
      <w:r w:rsidRPr="00A10E2A">
        <w:rPr>
          <w:u w:color="000000" w:themeColor="text1"/>
        </w:rPr>
        <w:t xml:space="preserve">must notify the President of the Senate and the Speaker of the House of Representatives within twenty-four hours of the receipt of service of a complaint that challenges the validity of an election law, an election policy, or the </w:t>
      </w:r>
      <w:r w:rsidRPr="00A10E2A">
        <w:t>manner in which an election is conducted.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10E2A">
        <w:rPr>
          <w:u w:color="000000" w:themeColor="text1"/>
        </w:rPr>
        <w:tab/>
        <w:t>(E)</w:t>
      </w:r>
      <w:r w:rsidRPr="00A10E2A">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snapToGrid w:val="0"/>
        </w:rPr>
        <w:t>SECTION</w:t>
      </w:r>
      <w:r w:rsidRPr="00A10E2A">
        <w:rPr>
          <w:snapToGrid w:val="0"/>
        </w:rPr>
        <w:tab/>
        <w:t>3.</w:t>
      </w:r>
      <w:r w:rsidRPr="00A10E2A">
        <w:rPr>
          <w:snapToGrid w:val="0"/>
        </w:rPr>
        <w:tab/>
        <w:t>A.</w:t>
      </w:r>
      <w:r w:rsidRPr="00A10E2A">
        <w:rPr>
          <w:snapToGrid w:val="0"/>
        </w:rPr>
        <w:tab/>
      </w:r>
      <w:r w:rsidRPr="00A10E2A">
        <w:rPr>
          <w:snapToGrid w:val="0"/>
        </w:rPr>
        <w:tab/>
      </w:r>
      <w:r w:rsidRPr="00A10E2A">
        <w:t>Section 7-3-10 of the 1976 Code is amended to read: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bCs/>
          <w:color w:val="000000"/>
          <w:szCs w:val="18"/>
          <w:shd w:val="clear" w:color="auto" w:fill="FFFFFF" w:themeFill="background1"/>
        </w:rPr>
        <w:tab/>
        <w:t>“Section 7</w:t>
      </w:r>
      <w:r w:rsidRPr="00A10E2A">
        <w:rPr>
          <w:bCs/>
          <w:color w:val="000000"/>
          <w:szCs w:val="18"/>
          <w:shd w:val="clear" w:color="auto" w:fill="FFFFFF" w:themeFill="background1"/>
        </w:rPr>
        <w:noBreakHyphen/>
        <w:t>3</w:t>
      </w:r>
      <w:r w:rsidRPr="00A10E2A">
        <w:rPr>
          <w:bCs/>
          <w:color w:val="000000"/>
          <w:szCs w:val="18"/>
          <w:shd w:val="clear" w:color="auto" w:fill="FFFFFF" w:themeFill="background1"/>
        </w:rPr>
        <w:noBreakHyphen/>
        <w:t>10.</w:t>
      </w:r>
      <w:r w:rsidRPr="00A10E2A">
        <w:rPr>
          <w:color w:val="000000"/>
          <w:szCs w:val="18"/>
          <w:shd w:val="clear" w:color="auto" w:fill="FFFFFF" w:themeFill="background1"/>
        </w:rPr>
        <w:tab/>
      </w:r>
      <w:r w:rsidRPr="00B9325F">
        <w:rPr>
          <w:strike/>
          <w:color w:val="000000"/>
          <w:szCs w:val="18"/>
          <w:shd w:val="clear" w:color="auto" w:fill="FFFFFF" w:themeFill="background1"/>
        </w:rPr>
        <w:t>(a)</w:t>
      </w:r>
      <w:r>
        <w:rPr>
          <w:color w:val="000000"/>
          <w:szCs w:val="18"/>
          <w:u w:val="single"/>
          <w:shd w:val="clear" w:color="auto" w:fill="FFFFFF" w:themeFill="background1"/>
        </w:rPr>
        <w:t>(A)</w:t>
      </w:r>
      <w:r w:rsidRPr="00A10E2A">
        <w:rPr>
          <w:color w:val="000000"/>
          <w:szCs w:val="18"/>
          <w:shd w:val="clear" w:color="auto" w:fill="FFFFFF" w:themeFill="background1"/>
        </w:rPr>
        <w:tab/>
        <w:t>There is hereby created the State Election Commission composed of five members,</w:t>
      </w:r>
      <w:r w:rsidRPr="00A10E2A">
        <w:rPr>
          <w:color w:val="000000"/>
          <w:szCs w:val="18"/>
          <w:u w:val="single"/>
          <w:shd w:val="clear" w:color="auto" w:fill="FFFFFF" w:themeFill="background1"/>
        </w:rPr>
        <w:t xml:space="preserve"> to be appointed by the Governor upon the advice and consent of the Senate, </w:t>
      </w:r>
      <w:r w:rsidRPr="00A10E2A">
        <w:rPr>
          <w:color w:val="000000"/>
          <w:szCs w:val="18"/>
          <w:shd w:val="clear" w:color="auto" w:fill="FFFFFF" w:themeFill="background1"/>
        </w:rPr>
        <w:t>at least one of whom shall be a member of the majority political party represented in the General Assembly</w:t>
      </w:r>
      <w:r w:rsidRPr="00A10E2A">
        <w:rPr>
          <w:color w:val="000000"/>
          <w:szCs w:val="18"/>
          <w:u w:val="single"/>
          <w:shd w:val="clear" w:color="auto" w:fill="FFFFFF" w:themeFill="background1"/>
        </w:rPr>
        <w:t>,</w:t>
      </w:r>
      <w:r w:rsidRPr="00A10E2A">
        <w:rPr>
          <w:color w:val="000000"/>
          <w:szCs w:val="18"/>
          <w:shd w:val="clear" w:color="auto" w:fill="FFFFFF" w:themeFill="background1"/>
        </w:rPr>
        <w:t xml:space="preserve"> and at least one of whom shall be a member of the largest minority political party represented in the General Assembly</w:t>
      </w:r>
      <w:r w:rsidRPr="00A10E2A">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sidRPr="00A10E2A">
        <w:rPr>
          <w:color w:val="000000"/>
          <w:szCs w:val="18"/>
          <w:shd w:val="clear" w:color="auto" w:fill="FFFFFF" w:themeFill="background1"/>
        </w:rPr>
        <w:t>.</w:t>
      </w:r>
      <w:r w:rsidRPr="00A10E2A">
        <w:rPr>
          <w:color w:val="000000"/>
          <w:szCs w:val="18"/>
          <w:u w:val="single"/>
          <w:shd w:val="clear" w:color="auto" w:fill="FFFFFF" w:themeFill="background1"/>
        </w:rPr>
        <w:t xml:space="preserve"> In considering appointments to the commission, </w:t>
      </w:r>
      <w:r w:rsidRPr="00A10E2A">
        <w:rPr>
          <w:u w:val="single"/>
          <w:lang w:val="en-PH"/>
        </w:rPr>
        <w:t xml:space="preserve">race, gender, and other geographic and demographic factors must be considered to assure nondiscrimination, inclusion, and representation to the greatest extent possible of all segments of the population of the State. </w:t>
      </w:r>
      <w:r w:rsidRPr="00A10E2A">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A10E2A">
        <w:rPr>
          <w:color w:val="000000"/>
          <w:u w:val="single"/>
          <w:shd w:val="clear" w:color="auto" w:fill="FFFFFF" w:themeFill="background1"/>
        </w:rPr>
        <w:t xml:space="preserve">. </w:t>
      </w:r>
      <w:r w:rsidRPr="00A10E2A">
        <w:rPr>
          <w:rFonts w:eastAsia="Calibri"/>
          <w:color w:val="000000"/>
          <w:u w:val="single"/>
          <w:shd w:val="clear" w:color="auto" w:fill="FFFFFF"/>
        </w:rPr>
        <w:t xml:space="preserve">If </w:t>
      </w:r>
      <w:r w:rsidRPr="00A10E2A">
        <w:rPr>
          <w:rFonts w:eastAsia="Calibri"/>
          <w:color w:val="000000"/>
          <w:u w:val="single"/>
          <w:shd w:val="clear" w:color="auto" w:fill="FFFFFF"/>
        </w:rPr>
        <w:lastRenderedPageBreak/>
        <w:t>a member who has been reappointed and who is serving in holdover status is not confirmed by the Senate on or before the sine die adjournment of the General Assembly following the expiration of the member’s term, then the member’s seat is vacated, and he is ineligible to serve on the State Election Commission as a recess or interim appointee.</w:t>
      </w:r>
      <w:r w:rsidRPr="00A10E2A">
        <w:rPr>
          <w:color w:val="000000"/>
          <w:u w:val="single"/>
          <w:shd w:val="clear" w:color="auto" w:fill="FFFFFF" w:themeFill="background1"/>
        </w:rPr>
        <w:t xml:space="preserve"> </w:t>
      </w:r>
      <w:r w:rsidRPr="00A10E2A">
        <w:rPr>
          <w:rFonts w:eastAsia="Calibri"/>
          <w:color w:val="000000"/>
          <w:u w:val="single"/>
          <w:shd w:val="clear" w:color="auto" w:fill="FFFFFF"/>
        </w:rPr>
        <w:t>If a person appointed to serve as a commissioner is rejected by a vote of the Senate, then, if the appointment was an initial appointment, the person cannot take office and is ineligible to serve as an interim appointee to the State Election Commission and, if the appointment was a reappointment, the person may serve the remainder of his term in office, if any, his seat is vacated upon the expiration of his term, and the person is ineligible to serve as a recess or interim appointee to the State Election Commission.</w:t>
      </w:r>
      <w:r w:rsidRPr="00A10E2A">
        <w:rPr>
          <w:color w:val="000000"/>
          <w:szCs w:val="18"/>
          <w:shd w:val="clear" w:color="auto" w:fill="FFFFFF" w:themeFill="background1"/>
        </w:rPr>
        <w:t xml:space="preserve"> Any vacancy on the </w:t>
      </w:r>
      <w:r w:rsidRPr="00A10E2A">
        <w:rPr>
          <w:strike/>
          <w:color w:val="000000"/>
          <w:szCs w:val="18"/>
          <w:shd w:val="clear" w:color="auto" w:fill="FFFFFF" w:themeFill="background1"/>
        </w:rPr>
        <w:t>Commission</w:t>
      </w:r>
      <w:r w:rsidRPr="00A10E2A">
        <w:rPr>
          <w:color w:val="000000"/>
          <w:szCs w:val="18"/>
          <w:shd w:val="clear" w:color="auto" w:fill="FFFFFF" w:themeFill="background1"/>
        </w:rPr>
        <w:t xml:space="preserve"> </w:t>
      </w:r>
      <w:r w:rsidRPr="00A10E2A">
        <w:rPr>
          <w:color w:val="000000"/>
          <w:szCs w:val="18"/>
          <w:u w:val="single"/>
          <w:shd w:val="clear" w:color="auto" w:fill="FFFFFF" w:themeFill="background1"/>
        </w:rPr>
        <w:t>commission</w:t>
      </w:r>
      <w:r w:rsidRPr="00A10E2A">
        <w:rPr>
          <w:color w:val="000000"/>
          <w:szCs w:val="18"/>
          <w:shd w:val="clear" w:color="auto" w:fill="FFFFFF" w:themeFill="background1"/>
        </w:rPr>
        <w:t xml:space="preserve"> shall be filled for the unexpired portion of the term in the same manner as the original appointment.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(b)</w:t>
      </w:r>
      <w:r w:rsidRPr="00A10E2A">
        <w:rPr>
          <w:rFonts w:eastAsia="Calibri"/>
          <w:u w:val="single"/>
          <w:lang w:val="en-PH"/>
        </w:rPr>
        <w:t>(B)</w:t>
      </w:r>
      <w:r w:rsidRPr="00A10E2A">
        <w:rPr>
          <w:rFonts w:eastAsia="Calibri"/>
          <w:lang w:val="en-PH"/>
        </w:rPr>
        <w:tab/>
        <w:t xml:space="preserve">The Governor shall appoint one of the members to serve as chairman for a term of two years and until his successor has been appointed and qualifies. The </w:t>
      </w:r>
      <w:r w:rsidR="00251C37" w:rsidRPr="00A10E2A">
        <w:rPr>
          <w:strike/>
          <w:color w:val="000000"/>
          <w:szCs w:val="18"/>
          <w:shd w:val="clear" w:color="auto" w:fill="FFFFFF" w:themeFill="background1"/>
        </w:rPr>
        <w:t>Commission</w:t>
      </w:r>
      <w:r w:rsidR="00251C37" w:rsidRPr="00A10E2A">
        <w:rPr>
          <w:color w:val="000000"/>
          <w:szCs w:val="18"/>
          <w:shd w:val="clear" w:color="auto" w:fill="FFFFFF" w:themeFill="background1"/>
        </w:rPr>
        <w:t xml:space="preserve"> </w:t>
      </w:r>
      <w:r w:rsidR="00251C37" w:rsidRPr="00A10E2A">
        <w:rPr>
          <w:color w:val="000000"/>
          <w:szCs w:val="18"/>
          <w:u w:val="single"/>
          <w:shd w:val="clear" w:color="auto" w:fill="FFFFFF" w:themeFill="background1"/>
        </w:rPr>
        <w:t>commission</w:t>
      </w:r>
      <w:r w:rsidRPr="00A10E2A">
        <w:rPr>
          <w:rFonts w:eastAsia="Calibri"/>
          <w:lang w:val="en-PH"/>
        </w:rPr>
        <w:t xml:space="preserve"> shall select such other officers from among its members as it may deem necessary.</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(c)</w:t>
      </w:r>
      <w:r w:rsidRPr="00A10E2A">
        <w:rPr>
          <w:rFonts w:eastAsia="Calibri"/>
          <w:u w:val="single"/>
          <w:lang w:val="en-PH"/>
        </w:rPr>
        <w:t>(C)</w:t>
      </w:r>
      <w:r w:rsidRPr="00A10E2A">
        <w:rPr>
          <w:rFonts w:eastAsia="Calibri"/>
          <w:lang w:val="en-PH"/>
        </w:rPr>
        <w:tab/>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(d)</w:t>
      </w:r>
      <w:r w:rsidRPr="00A10E2A">
        <w:rPr>
          <w:rFonts w:eastAsia="Calibri"/>
          <w:u w:val="single"/>
          <w:lang w:val="en-PH"/>
        </w:rPr>
        <w:t>(D)</w:t>
      </w:r>
      <w:r w:rsidRPr="00A10E2A">
        <w:rPr>
          <w:rFonts w:eastAsia="Calibri"/>
          <w:lang w:val="en-PH"/>
        </w:rPr>
        <w:tab/>
        <w:t xml:space="preserve">The </w:t>
      </w:r>
      <w:r w:rsidR="00251C37" w:rsidRPr="00A10E2A">
        <w:rPr>
          <w:strike/>
          <w:color w:val="000000"/>
          <w:szCs w:val="18"/>
          <w:shd w:val="clear" w:color="auto" w:fill="FFFFFF" w:themeFill="background1"/>
        </w:rPr>
        <w:t>Commission</w:t>
      </w:r>
      <w:r w:rsidR="00251C37" w:rsidRPr="00A10E2A">
        <w:rPr>
          <w:color w:val="000000"/>
          <w:szCs w:val="18"/>
          <w:shd w:val="clear" w:color="auto" w:fill="FFFFFF" w:themeFill="background1"/>
        </w:rPr>
        <w:t xml:space="preserve"> </w:t>
      </w:r>
      <w:r w:rsidR="00251C37" w:rsidRPr="00A10E2A">
        <w:rPr>
          <w:color w:val="000000"/>
          <w:szCs w:val="18"/>
          <w:u w:val="single"/>
          <w:shd w:val="clear" w:color="auto" w:fill="FFFFFF" w:themeFill="background1"/>
        </w:rPr>
        <w:t>commission</w:t>
      </w:r>
      <w:r w:rsidRPr="00A10E2A">
        <w:rPr>
          <w:rFonts w:eastAsia="Calibri"/>
          <w:lang w:val="en-PH"/>
        </w:rPr>
        <w:t xml:space="preserve"> shall have the powers and duties as enumerated in this title.</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strike/>
          <w:lang w:val="en-PH"/>
        </w:rPr>
        <w:t>(e)</w:t>
      </w:r>
      <w:r w:rsidRPr="00A10E2A">
        <w:rPr>
          <w:rFonts w:eastAsia="Calibri"/>
          <w:u w:val="single"/>
          <w:lang w:val="en-PH"/>
        </w:rPr>
        <w:t>(E)</w:t>
      </w:r>
      <w:r w:rsidRPr="00A10E2A">
        <w:rPr>
          <w:rFonts w:eastAsia="Calibri"/>
          <w:lang w:val="en-PH"/>
        </w:rPr>
        <w:tab/>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A10E2A">
        <w:rPr>
          <w:rFonts w:eastAsia="Calibri"/>
          <w:lang w:val="en-PH"/>
        </w:rPr>
        <w:tab/>
      </w:r>
      <w:r w:rsidRPr="00A10E2A">
        <w:rPr>
          <w:rFonts w:eastAsia="Calibri"/>
          <w:u w:val="single"/>
          <w:lang w:val="en-PH"/>
        </w:rPr>
        <w:t>(F)</w:t>
      </w:r>
      <w:r w:rsidRPr="00A10E2A">
        <w:rPr>
          <w:rFonts w:eastAsia="Calibri"/>
          <w:lang w:val="en-PH"/>
        </w:rPr>
        <w:tab/>
      </w:r>
      <w:r w:rsidRPr="00A10E2A">
        <w:rPr>
          <w:rFonts w:eastAsia="Calibri"/>
          <w:u w:val="single"/>
          <w:lang w:val="en-PH"/>
        </w:rPr>
        <w:t>The commission shall promulgate regulations to establish standardized processes for the administration of elections and voter registration</w:t>
      </w:r>
      <w:r>
        <w:rPr>
          <w:rFonts w:eastAsia="Calibri"/>
          <w:u w:val="single"/>
          <w:lang w:val="en-PH"/>
        </w:rPr>
        <w:t>, which</w:t>
      </w:r>
      <w:r w:rsidRPr="00A10E2A">
        <w:rPr>
          <w:rFonts w:eastAsia="Calibri"/>
          <w:u w:val="single"/>
          <w:lang w:val="en-PH"/>
        </w:rPr>
        <w:t xml:space="preserve"> must be followed by county boards of </w:t>
      </w:r>
      <w:r>
        <w:rPr>
          <w:rFonts w:eastAsia="Calibri"/>
          <w:u w:val="single"/>
          <w:lang w:val="en-PH"/>
        </w:rPr>
        <w:t xml:space="preserve">voter registration and </w:t>
      </w:r>
      <w:r w:rsidRPr="00A10E2A">
        <w:rPr>
          <w:rFonts w:eastAsia="Calibri"/>
          <w:u w:val="single"/>
          <w:lang w:val="en-PH"/>
        </w:rPr>
        <w:t>elections, as established pursuant to Article 1, Chapter 5, Title 7. The standards established by the commission must comply with federal and state statutory, regulatory, and constitutional standards.</w:t>
      </w:r>
      <w:r>
        <w:rPr>
          <w:rFonts w:eastAsia="Calibri"/>
          <w:u w:val="single"/>
          <w:lang w:val="en-PH"/>
        </w:rPr>
        <w:t xml:space="preserve"> The commission is prohibited from promulgating emergency regulations pursuant to Section 1-23-130. The standardized processes promulgated pursuant to this subsection must</w:t>
      </w:r>
      <w:r w:rsidRPr="00D85131">
        <w:rPr>
          <w:color w:val="000000" w:themeColor="text1"/>
          <w:u w:val="single" w:color="000000" w:themeColor="text1"/>
        </w:rPr>
        <w:t xml:space="preserve"> take into account unique circumstances around the </w:t>
      </w:r>
      <w:r>
        <w:rPr>
          <w:color w:val="000000" w:themeColor="text1"/>
          <w:u w:val="single" w:color="000000" w:themeColor="text1"/>
        </w:rPr>
        <w:t>S</w:t>
      </w:r>
      <w:r w:rsidRPr="00D85131">
        <w:rPr>
          <w:color w:val="000000" w:themeColor="text1"/>
          <w:u w:val="single" w:color="000000" w:themeColor="text1"/>
        </w:rPr>
        <w:t xml:space="preserve">tate, </w:t>
      </w:r>
      <w:r w:rsidRPr="00D85131">
        <w:rPr>
          <w:color w:val="000000" w:themeColor="text1"/>
          <w:u w:val="single" w:color="000000" w:themeColor="text1"/>
        </w:rPr>
        <w:lastRenderedPageBreak/>
        <w:t>including, but not limited to</w:t>
      </w:r>
      <w:r>
        <w:rPr>
          <w:color w:val="000000" w:themeColor="text1"/>
          <w:u w:val="single" w:color="000000" w:themeColor="text1"/>
        </w:rPr>
        <w:t>,</w:t>
      </w:r>
      <w:r w:rsidRPr="00D85131">
        <w:rPr>
          <w:color w:val="000000" w:themeColor="text1"/>
          <w:u w:val="single" w:color="000000" w:themeColor="text1"/>
        </w:rPr>
        <w:t xml:space="preserve"> population and geographic disparities among the various counties.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rFonts w:eastAsia="Calibri"/>
          <w:lang w:val="en-PH"/>
        </w:rPr>
        <w:tab/>
      </w:r>
      <w:r w:rsidRPr="00A10E2A">
        <w:rPr>
          <w:rFonts w:eastAsia="Calibri"/>
          <w:u w:val="single"/>
          <w:lang w:val="en-PH"/>
        </w:rPr>
        <w:t>(G)</w:t>
      </w:r>
      <w:r w:rsidRPr="00A10E2A">
        <w:rPr>
          <w:rFonts w:eastAsia="Calibri"/>
          <w:lang w:val="en-PH"/>
        </w:rPr>
        <w:tab/>
      </w:r>
      <w:r w:rsidRPr="00A10E2A">
        <w:rPr>
          <w:rFonts w:eastAsia="Calibri"/>
          <w:u w:val="single"/>
          <w:lang w:val="en-PH"/>
        </w:rPr>
        <w:t>The commission shall provide for the supervision of the conduct of county board</w:t>
      </w:r>
      <w:r>
        <w:rPr>
          <w:rFonts w:eastAsia="Calibri"/>
          <w:u w:val="single"/>
          <w:lang w:val="en-PH"/>
        </w:rPr>
        <w:t>s</w:t>
      </w:r>
      <w:r w:rsidRPr="00A10E2A">
        <w:rPr>
          <w:rFonts w:eastAsia="Calibri"/>
          <w:u w:val="single"/>
          <w:lang w:val="en-PH"/>
        </w:rPr>
        <w:t xml:space="preserve"> of</w:t>
      </w:r>
      <w:r>
        <w:rPr>
          <w:rFonts w:eastAsia="Calibri"/>
          <w:u w:val="single"/>
          <w:lang w:val="en-PH"/>
        </w:rPr>
        <w:t xml:space="preserve"> voter registration and</w:t>
      </w:r>
      <w:r w:rsidRPr="00A10E2A">
        <w:rPr>
          <w:rFonts w:eastAsia="Calibri"/>
          <w:u w:val="single"/>
          <w:lang w:val="en-PH"/>
        </w:rPr>
        <w:t xml:space="preserve"> elections, as established pursuant to Article 1, Chapter 5, Title 7</w:t>
      </w:r>
      <w:r>
        <w:rPr>
          <w:rFonts w:eastAsia="Calibri"/>
          <w:u w:val="single"/>
          <w:lang w:val="en-PH"/>
        </w:rPr>
        <w:t>,</w:t>
      </w:r>
      <w:r w:rsidRPr="00A10E2A">
        <w:rPr>
          <w:rFonts w:eastAsia="Calibri"/>
          <w:u w:val="single"/>
          <w:lang w:val="en-PH"/>
        </w:rPr>
        <w:t xml:space="preserve"> which administer elections and voter registration in the State</w:t>
      </w:r>
      <w:r>
        <w:rPr>
          <w:rFonts w:eastAsia="Calibri"/>
          <w:u w:val="single"/>
          <w:lang w:val="en-PH"/>
        </w:rPr>
        <w:t>. The commission</w:t>
      </w:r>
      <w:r w:rsidRPr="00A10E2A">
        <w:rPr>
          <w:rFonts w:eastAsia="Calibri"/>
          <w:u w:val="single"/>
          <w:lang w:val="en-PH"/>
        </w:rPr>
        <w:t xml:space="preserve"> is ultimately responsible for ensuring those boards' compliance with the requirements </w:t>
      </w:r>
      <w:r>
        <w:rPr>
          <w:rFonts w:eastAsia="Calibri"/>
          <w:u w:val="single"/>
          <w:lang w:val="en-PH"/>
        </w:rPr>
        <w:t>of</w:t>
      </w:r>
      <w:r w:rsidRPr="00A10E2A">
        <w:rPr>
          <w:rFonts w:eastAsia="Calibri"/>
          <w:u w:val="single"/>
          <w:lang w:val="en-PH"/>
        </w:rPr>
        <w:t xml:space="preserve"> applicable state or federal law </w:t>
      </w:r>
      <w:r>
        <w:rPr>
          <w:rFonts w:eastAsia="Calibri"/>
          <w:u w:val="single"/>
          <w:lang w:val="en-PH"/>
        </w:rPr>
        <w:t>and</w:t>
      </w:r>
      <w:r w:rsidRPr="00A10E2A">
        <w:rPr>
          <w:rFonts w:eastAsia="Calibri"/>
          <w:u w:val="single"/>
          <w:lang w:val="en-PH"/>
        </w:rPr>
        <w:t xml:space="preserve"> State Election Commission policies, procedures, and standardized processes with regard to the conduct of elections or the voter registration process by all persons involved in the elections process.</w:t>
      </w:r>
      <w:r w:rsidRPr="00A10E2A">
        <w:rPr>
          <w:color w:val="000000"/>
          <w:szCs w:val="18"/>
          <w:shd w:val="clear" w:color="auto" w:fill="FFFFFF" w:themeFill="background1"/>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t>B.</w:t>
      </w:r>
      <w:r w:rsidRPr="00A10E2A">
        <w:tab/>
      </w:r>
      <w:r w:rsidRPr="00A10E2A">
        <w:rPr>
          <w:color w:val="000000"/>
          <w:szCs w:val="18"/>
          <w:shd w:val="clear" w:color="auto" w:fill="FFFFFF" w:themeFill="background1"/>
        </w:rPr>
        <w:t>On the effective date of this act, the terms of the members of the State Election Commission are expired, and a new State Election Commission must be established pursuant to Section 7</w:t>
      </w:r>
      <w:r w:rsidRPr="00A10E2A">
        <w:rPr>
          <w:color w:val="000000"/>
          <w:szCs w:val="18"/>
          <w:shd w:val="clear" w:color="auto" w:fill="FFFFFF" w:themeFill="background1"/>
        </w:rPr>
        <w:noBreakHyphen/>
        <w:t>3</w:t>
      </w:r>
      <w:r w:rsidRPr="00A10E2A">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sidRPr="00A10E2A">
        <w:rPr>
          <w:color w:val="000000"/>
          <w:szCs w:val="18"/>
          <w:shd w:val="clear" w:color="auto" w:fill="FFFFFF" w:themeFill="background1"/>
        </w:rPr>
        <w:tab/>
        <w:t>(1)</w:t>
      </w:r>
      <w:r w:rsidRPr="00A10E2A">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2023; and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Pr>
          <w:color w:val="000000"/>
          <w:szCs w:val="18"/>
          <w:shd w:val="clear" w:color="auto" w:fill="FFFFFF" w:themeFill="background1"/>
        </w:rPr>
        <w:tab/>
      </w:r>
      <w:r w:rsidRPr="00A10E2A">
        <w:rPr>
          <w:color w:val="000000"/>
          <w:szCs w:val="18"/>
          <w:shd w:val="clear" w:color="auto" w:fill="FFFFFF" w:themeFill="background1"/>
        </w:rPr>
        <w:tab/>
        <w:t>(2)</w:t>
      </w:r>
      <w:r w:rsidRPr="00A10E2A">
        <w:rPr>
          <w:color w:val="000000"/>
          <w:szCs w:val="18"/>
          <w:shd w:val="clear" w:color="auto" w:fill="FFFFFF" w:themeFill="background1"/>
        </w:rPr>
        <w:tab/>
        <w:t>the initial appointments of three members are for terms expiring on July 1, 2025.</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t>C.</w:t>
      </w:r>
      <w:r w:rsidRPr="00A10E2A">
        <w:tab/>
      </w:r>
      <w:r w:rsidRPr="00A10E2A">
        <w:rPr>
          <w:color w:val="000000"/>
          <w:szCs w:val="18"/>
          <w:shd w:val="clear" w:color="auto" w:fill="FFFFFF" w:themeFill="background1"/>
        </w:rPr>
        <w:t>A member whose term expires on the effective date of this act may continue to serve in the seat in holdover status until a successor is appointed and qualifies, provided that if no successor has received the advice and consent of the Senate by May 13, 2021, or by the deadline for the confirmation of appointments in a sine die resolution that is passed in 2021, whichever is later, then the member’s seat is vacated on the later of the two dates and is ineligible to serve as an interim appointment to the State Election Commission. If a member who is serving in holdover status is rejected by a vote of the Senate, then the member’s seat is vacated on the date the member is rejected by a vote of the Senate and the member is ineligible to serve as an interim appointment to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snapToGrid w:val="0"/>
        </w:rPr>
        <w:t>SECTION</w:t>
      </w:r>
      <w:r w:rsidRPr="00A10E2A">
        <w:rPr>
          <w:snapToGrid w:val="0"/>
        </w:rPr>
        <w:tab/>
        <w:t>4.</w:t>
      </w:r>
      <w:r w:rsidRPr="00A10E2A">
        <w:rPr>
          <w:snapToGrid w:val="0"/>
        </w:rPr>
        <w:tab/>
        <w:t>A.</w:t>
      </w:r>
      <w:r w:rsidRPr="00A10E2A">
        <w:rPr>
          <w:snapToGrid w:val="0"/>
        </w:rPr>
        <w:tab/>
      </w:r>
      <w:r w:rsidRPr="00A10E2A">
        <w:rPr>
          <w:snapToGrid w:val="0"/>
        </w:rPr>
        <w:tab/>
      </w:r>
      <w:r w:rsidRPr="00A10E2A">
        <w:t>Section 7-3-20 of the 1976 Code is amended to read: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bCs/>
          <w:color w:val="000000"/>
          <w:szCs w:val="18"/>
          <w:shd w:val="clear" w:color="auto" w:fill="FFFFFF" w:themeFill="background1"/>
        </w:rPr>
        <w:tab/>
        <w:t>“Section 7</w:t>
      </w:r>
      <w:r w:rsidRPr="00A10E2A">
        <w:rPr>
          <w:bCs/>
          <w:color w:val="000000"/>
          <w:szCs w:val="18"/>
          <w:shd w:val="clear" w:color="auto" w:fill="FFFFFF" w:themeFill="background1"/>
        </w:rPr>
        <w:noBreakHyphen/>
        <w:t>3</w:t>
      </w:r>
      <w:r w:rsidRPr="00A10E2A">
        <w:rPr>
          <w:bCs/>
          <w:color w:val="000000"/>
          <w:szCs w:val="18"/>
          <w:shd w:val="clear" w:color="auto" w:fill="FFFFFF" w:themeFill="background1"/>
        </w:rPr>
        <w:noBreakHyphen/>
        <w:t>20.</w:t>
      </w:r>
      <w:r w:rsidRPr="00A10E2A">
        <w:rPr>
          <w:color w:val="000000"/>
          <w:szCs w:val="18"/>
          <w:shd w:val="clear" w:color="auto" w:fill="FFFFFF" w:themeFill="background1"/>
        </w:rPr>
        <w:tab/>
        <w:t>(A)</w:t>
      </w:r>
      <w:r w:rsidRPr="00A10E2A">
        <w:rPr>
          <w:color w:val="000000"/>
          <w:szCs w:val="18"/>
          <w:shd w:val="clear" w:color="auto" w:fill="FFFFFF" w:themeFill="background1"/>
        </w:rPr>
        <w:tab/>
        <w:t xml:space="preserve">The State Election Commission shall </w:t>
      </w:r>
      <w:r w:rsidRPr="00A10E2A">
        <w:rPr>
          <w:strike/>
          <w:color w:val="000000"/>
          <w:szCs w:val="18"/>
          <w:shd w:val="clear" w:color="auto" w:fill="FFFFFF" w:themeFill="background1"/>
        </w:rPr>
        <w:t>elect</w:t>
      </w:r>
      <w:r w:rsidRPr="00A10E2A">
        <w:rPr>
          <w:color w:val="000000"/>
          <w:szCs w:val="18"/>
          <w:shd w:val="clear" w:color="auto" w:fill="FFFFFF" w:themeFill="background1"/>
        </w:rPr>
        <w:t xml:space="preserve"> </w:t>
      </w:r>
      <w:r w:rsidRPr="00A10E2A">
        <w:rPr>
          <w:color w:val="000000"/>
          <w:szCs w:val="18"/>
          <w:u w:val="single"/>
          <w:shd w:val="clear" w:color="auto" w:fill="FFFFFF" w:themeFill="background1"/>
        </w:rPr>
        <w:t>appoint</w:t>
      </w:r>
      <w:r w:rsidRPr="00A10E2A">
        <w:rPr>
          <w:color w:val="000000"/>
          <w:szCs w:val="18"/>
          <w:shd w:val="clear" w:color="auto" w:fill="FFFFFF" w:themeFill="background1"/>
        </w:rPr>
        <w:t xml:space="preserve"> an executive director</w:t>
      </w:r>
      <w:r w:rsidRPr="00A10E2A">
        <w:rPr>
          <w:color w:val="000000"/>
          <w:szCs w:val="18"/>
          <w:u w:val="single"/>
          <w:shd w:val="clear" w:color="auto" w:fill="FFFFFF" w:themeFill="background1"/>
        </w:rPr>
        <w:t>, upon the advice and consent of the Senate,</w:t>
      </w:r>
      <w:r w:rsidRPr="00A10E2A">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A10E2A">
        <w:rPr>
          <w:color w:val="000000"/>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t>(B)</w:t>
      </w:r>
      <w:r w:rsidRPr="00A10E2A">
        <w:rPr>
          <w:rFonts w:eastAsia="Calibri"/>
          <w:lang w:val="en-PH"/>
        </w:rPr>
        <w:tab/>
        <w:t>The executive director shall receive such compensation and employ such staff, subject to the approval of the State Election Commission, as may be provided by law.</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t>(C)</w:t>
      </w:r>
      <w:r w:rsidRPr="00A10E2A">
        <w:rPr>
          <w:rFonts w:eastAsia="Calibri"/>
          <w:lang w:val="en-PH"/>
        </w:rPr>
        <w:tab/>
        <w:t>The executive director shall:</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A10E2A">
        <w:rPr>
          <w:rFonts w:eastAsia="Calibri"/>
          <w:lang w:val="en-PH"/>
        </w:rPr>
        <w:tab/>
      </w:r>
      <w:r w:rsidRPr="00A10E2A">
        <w:rPr>
          <w:rFonts w:eastAsia="Calibri"/>
          <w:lang w:val="en-PH"/>
        </w:rPr>
        <w:tab/>
      </w:r>
      <w:r w:rsidRPr="00747F2D">
        <w:rPr>
          <w:rFonts w:eastAsia="Calibri"/>
          <w:lang w:val="en-PH"/>
        </w:rPr>
        <w:t>(1)</w:t>
      </w:r>
      <w:r w:rsidRPr="00A10E2A">
        <w:rPr>
          <w:rFonts w:eastAsia="Calibri"/>
          <w:lang w:val="en-PH"/>
        </w:rPr>
        <w:tab/>
      </w:r>
      <w:r w:rsidRPr="00A10E2A">
        <w:rPr>
          <w:rFonts w:eastAsia="Calibri"/>
          <w:u w:val="single"/>
          <w:lang w:val="en-PH"/>
        </w:rPr>
        <w:t>direct and supervise the implementation of the standardized processes established by the commission pursuant to Section 7-3-</w:t>
      </w:r>
      <w:r>
        <w:rPr>
          <w:rFonts w:eastAsia="Calibri"/>
          <w:u w:val="single"/>
          <w:lang w:val="en-PH"/>
        </w:rPr>
        <w:t>1</w:t>
      </w:r>
      <w:r w:rsidRPr="00A10E2A">
        <w:rPr>
          <w:rFonts w:eastAsia="Calibri"/>
          <w:u w:val="single"/>
          <w:lang w:val="en-PH"/>
        </w:rPr>
        <w:t>0(</w:t>
      </w:r>
      <w:r>
        <w:rPr>
          <w:rFonts w:eastAsia="Calibri"/>
          <w:u w:val="single"/>
          <w:lang w:val="en-PH"/>
        </w:rPr>
        <w:t>F</w:t>
      </w:r>
      <w:r w:rsidRPr="00A10E2A">
        <w:rPr>
          <w:rFonts w:eastAsia="Calibri"/>
          <w:u w:val="single"/>
          <w:lang w:val="en-PH"/>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u w:val="single"/>
          <w:lang w:val="en-PH"/>
        </w:rPr>
        <w:t>(2)</w:t>
      </w:r>
      <w:r w:rsidRPr="00A10E2A">
        <w:rPr>
          <w:rFonts w:eastAsia="Calibri"/>
          <w:lang w:val="en-PH"/>
        </w:rPr>
        <w:tab/>
        <w:t>supervise the conduct of county board of elections and voter registration, as established pursuant to Article 1, Chapter 5, which administer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(2)</w:t>
      </w:r>
      <w:r w:rsidRPr="00A10E2A">
        <w:rPr>
          <w:rFonts w:eastAsia="Calibri"/>
          <w:u w:val="single"/>
          <w:lang w:val="en-PH"/>
        </w:rPr>
        <w:t>(3)</w:t>
      </w:r>
      <w:r w:rsidRPr="00A10E2A">
        <w:rPr>
          <w:rFonts w:eastAsia="Calibri"/>
          <w:lang w:val="en-PH"/>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(3)</w:t>
      </w:r>
      <w:r w:rsidRPr="00A10E2A">
        <w:rPr>
          <w:rFonts w:eastAsia="Calibri"/>
          <w:u w:val="single"/>
          <w:lang w:val="en-PH"/>
        </w:rPr>
        <w:t>(4)</w:t>
      </w:r>
      <w:r w:rsidRPr="00A10E2A">
        <w:rPr>
          <w:rFonts w:eastAsia="Calibri"/>
          <w:lang w:val="en-PH"/>
        </w:rPr>
        <w:tab/>
        <w:t>maintain a complete master file of all qualified electors by county and by precincts;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(4)</w:t>
      </w:r>
      <w:r w:rsidRPr="00A10E2A">
        <w:rPr>
          <w:rFonts w:eastAsia="Calibri"/>
          <w:u w:val="single"/>
          <w:lang w:val="en-PH"/>
        </w:rPr>
        <w:t>(5)</w:t>
      </w:r>
      <w:r w:rsidRPr="00A10E2A">
        <w:rPr>
          <w:rFonts w:eastAsia="Calibri"/>
          <w:lang w:val="en-PH"/>
        </w:rPr>
        <w:tab/>
        <w:t>delete the name of any elector: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(a)</w:t>
      </w:r>
      <w:r w:rsidRPr="00A10E2A">
        <w:rPr>
          <w:rFonts w:eastAsia="Calibri"/>
          <w:lang w:val="en-PH"/>
        </w:rPr>
        <w:tab/>
        <w:t>who is deceased;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(b)</w:t>
      </w:r>
      <w:r w:rsidRPr="00A10E2A">
        <w:rPr>
          <w:rFonts w:eastAsia="Calibri"/>
          <w:lang w:val="en-PH"/>
        </w:rPr>
        <w:tab/>
        <w:t>who is no longer qualified to vote in the precinct where currently registered;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lastRenderedPageBreak/>
        <w:tab/>
      </w:r>
      <w:r w:rsidRPr="00A10E2A">
        <w:rPr>
          <w:rFonts w:eastAsia="Calibri"/>
          <w:lang w:val="en-PH"/>
        </w:rPr>
        <w:tab/>
      </w:r>
      <w:r w:rsidRPr="00A10E2A">
        <w:rPr>
          <w:rFonts w:eastAsia="Calibri"/>
          <w:lang w:val="en-PH"/>
        </w:rPr>
        <w:tab/>
        <w:t>(c)</w:t>
      </w:r>
      <w:r w:rsidRPr="00A10E2A">
        <w:rPr>
          <w:rFonts w:eastAsia="Calibri"/>
          <w:lang w:val="en-PH"/>
        </w:rPr>
        <w:tab/>
        <w:t>who has been convicted of a disqualifying crime;</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(d)</w:t>
      </w:r>
      <w:r w:rsidRPr="00A10E2A">
        <w:rPr>
          <w:rFonts w:eastAsia="Calibri"/>
          <w:lang w:val="en-PH"/>
        </w:rPr>
        <w:tab/>
        <w:t>who is otherwise no longer qualified to vote as may be provided by law; or</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lang w:val="en-PH"/>
        </w:rPr>
        <w:tab/>
        <w:t>(e)</w:t>
      </w:r>
      <w:r w:rsidRPr="00A10E2A">
        <w:rPr>
          <w:rFonts w:eastAsia="Calibri"/>
          <w:lang w:val="en-PH"/>
        </w:rPr>
        <w:tab/>
        <w:t>who requests in writing that his name be removed;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(5)</w:t>
      </w:r>
      <w:r w:rsidRPr="00A10E2A">
        <w:rPr>
          <w:rFonts w:eastAsia="Calibri"/>
          <w:u w:val="single"/>
          <w:lang w:val="en-PH"/>
        </w:rPr>
        <w:t>(6)</w:t>
      </w:r>
      <w:r w:rsidRPr="00A10E2A">
        <w:rPr>
          <w:rFonts w:eastAsia="Calibri"/>
          <w:lang w:val="en-PH"/>
        </w:rPr>
        <w:tab/>
        <w:t>enter names on the master file as they are reported by the county boards of voter registration and elections;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(6)</w:t>
      </w:r>
      <w:r w:rsidRPr="00A10E2A">
        <w:rPr>
          <w:rFonts w:eastAsia="Calibri"/>
          <w:u w:val="single"/>
          <w:lang w:val="en-PH"/>
        </w:rPr>
        <w:t>(7)</w:t>
      </w:r>
      <w:r w:rsidRPr="00A10E2A">
        <w:rPr>
          <w:rFonts w:eastAsia="Calibri"/>
          <w:lang w:val="en-PH"/>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(7)</w:t>
      </w:r>
      <w:r w:rsidRPr="00A10E2A">
        <w:rPr>
          <w:rFonts w:eastAsia="Calibri"/>
          <w:u w:val="single"/>
          <w:lang w:val="en-PH"/>
        </w:rPr>
        <w:t>(8)</w:t>
      </w:r>
      <w:r w:rsidRPr="00A10E2A">
        <w:rPr>
          <w:rFonts w:eastAsia="Calibri"/>
          <w:lang w:val="en-PH"/>
        </w:rPr>
        <w:tab/>
        <w:t>maintain all information furnished his office relating to the inclusion or deletion of names from the master file for four years;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(8)</w:t>
      </w:r>
      <w:r w:rsidRPr="00A10E2A">
        <w:rPr>
          <w:rFonts w:eastAsia="Calibri"/>
          <w:u w:val="single"/>
          <w:lang w:val="en-PH"/>
        </w:rPr>
        <w:t>(9)</w:t>
      </w:r>
      <w:r w:rsidRPr="00A10E2A">
        <w:rPr>
          <w:rFonts w:eastAsia="Calibri"/>
          <w:lang w:val="en-PH"/>
        </w:rPr>
        <w:tab/>
        <w:t>purchase, lease, or contract for the use of such equipment as may be necessary to properly execute the duties of his office, subject to the approval of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(9)</w:t>
      </w:r>
      <w:r w:rsidRPr="00A10E2A">
        <w:rPr>
          <w:rFonts w:eastAsia="Calibri"/>
          <w:u w:val="single"/>
          <w:lang w:val="en-PH"/>
        </w:rPr>
        <w:t>(10)</w:t>
      </w:r>
      <w:r w:rsidRPr="00A10E2A">
        <w:rPr>
          <w:rFonts w:eastAsia="Calibri"/>
          <w:lang w:val="en-PH"/>
        </w:rPr>
        <w:tab/>
        <w:t>secure from the United States courts and federal and state agencies available information as to persons convicted of disqualifying crimes;</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(10)</w:t>
      </w:r>
      <w:r w:rsidRPr="00A10E2A">
        <w:rPr>
          <w:rFonts w:eastAsia="Calibri"/>
          <w:u w:val="single"/>
          <w:lang w:val="en-PH"/>
        </w:rPr>
        <w:t>(11)</w:t>
      </w:r>
      <w:r w:rsidRPr="00A10E2A">
        <w:rPr>
          <w:rFonts w:eastAsia="Calibri"/>
          <w:lang w:val="en-PH"/>
        </w:rPr>
        <w:tab/>
        <w:t>obtain information from any other source which may assist him in carrying out the purposes of this section;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(11)</w:t>
      </w:r>
      <w:r w:rsidRPr="00A10E2A">
        <w:rPr>
          <w:rFonts w:eastAsia="Calibri"/>
          <w:u w:val="single"/>
          <w:lang w:val="en-PH"/>
        </w:rPr>
        <w:t>(12)</w:t>
      </w:r>
      <w:r w:rsidRPr="00A10E2A">
        <w:rPr>
          <w:rFonts w:eastAsia="Calibri"/>
          <w:lang w:val="en-PH"/>
        </w:rPr>
        <w:tab/>
        <w:t>perform such other duties relating to elections as may be assigned him by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(12)</w:t>
      </w:r>
      <w:r w:rsidRPr="00A10E2A">
        <w:rPr>
          <w:rFonts w:eastAsia="Calibri"/>
          <w:u w:val="single"/>
          <w:lang w:val="en-PH"/>
        </w:rPr>
        <w:t>(13)</w:t>
      </w:r>
      <w:r w:rsidRPr="00A10E2A">
        <w:rPr>
          <w:rFonts w:eastAsia="Calibri"/>
          <w:lang w:val="en-PH"/>
        </w:rPr>
        <w:tab/>
        <w:t>furnish at reasonable price any precinct lists to a qualified elector requesting them;</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(13)</w:t>
      </w:r>
      <w:r w:rsidRPr="00A10E2A">
        <w:rPr>
          <w:rFonts w:eastAsia="Calibri"/>
          <w:u w:val="single"/>
          <w:lang w:val="en-PH"/>
        </w:rPr>
        <w:t>(14)</w:t>
      </w:r>
      <w:r w:rsidRPr="00A10E2A">
        <w:rPr>
          <w:rFonts w:eastAsia="Calibri"/>
          <w:lang w:val="en-PH"/>
        </w:rPr>
        <w:tab/>
        <w:t>serve as the chief state election official responsible for implementing and coordinating the state's responsibilities under the National Voter Registration Act of 1993;</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(14)</w:t>
      </w:r>
      <w:r w:rsidRPr="00A10E2A">
        <w:rPr>
          <w:rFonts w:eastAsia="Calibri"/>
          <w:u w:val="single"/>
          <w:lang w:val="en-PH"/>
        </w:rPr>
        <w:t>(15)</w:t>
      </w:r>
      <w:r w:rsidRPr="00A10E2A">
        <w:rPr>
          <w:rFonts w:eastAsia="Calibri"/>
          <w:lang w:val="en-PH"/>
        </w:rPr>
        <w:tab/>
        <w:t>serve as the chief state election official responsible for implementing and enforcing the state's responsibilities under the Uniformed and Overseas Citizens Absentee Voting Act (UOCAVA), as set forth in the U.S.C., Title 42, Section 1973ff, et seq.; and</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A10E2A">
        <w:rPr>
          <w:rFonts w:eastAsia="Calibri"/>
          <w:lang w:val="en-PH"/>
        </w:rPr>
        <w:tab/>
      </w:r>
      <w:r w:rsidRPr="00A10E2A">
        <w:rPr>
          <w:rFonts w:eastAsia="Calibri"/>
          <w:lang w:val="en-PH"/>
        </w:rPr>
        <w:tab/>
      </w:r>
      <w:r w:rsidRPr="00A10E2A">
        <w:rPr>
          <w:rFonts w:eastAsia="Calibri"/>
          <w:strike/>
          <w:lang w:val="en-PH"/>
        </w:rPr>
        <w:t>(15)</w:t>
      </w:r>
      <w:r w:rsidRPr="00A10E2A">
        <w:rPr>
          <w:rFonts w:eastAsia="Calibri"/>
          <w:u w:val="single"/>
          <w:lang w:val="en-PH"/>
        </w:rPr>
        <w:t>(16)</w:t>
      </w:r>
      <w:r w:rsidRPr="00A10E2A">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C145C">
        <w:rPr>
          <w:lang w:val="en-PH"/>
        </w:rPr>
        <w:tab/>
        <w:t>(D)</w:t>
      </w:r>
      <w:r>
        <w:rPr>
          <w:lang w:val="en-PH"/>
        </w:rPr>
        <w:tab/>
      </w:r>
      <w:r w:rsidRPr="009C145C">
        <w:rPr>
          <w:lang w:val="en-PH"/>
        </w:rPr>
        <w:t>The State Election Commission shall publish on the commission's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Pr="009C145C">
        <w:rPr>
          <w:lang w:val="en-PH"/>
        </w:rPr>
        <w:noBreakHyphen/>
        <w:t xml:space="preserve">five days prior to the </w:t>
      </w:r>
      <w:r w:rsidRPr="009C145C">
        <w:rPr>
          <w:lang w:val="en-PH"/>
        </w:rPr>
        <w:lastRenderedPageBreak/>
        <w:t>implementation, whichever is earlier.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r>
        <w:rPr>
          <w:lang w:val="en-PH"/>
        </w:rPr>
        <w: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t>B.</w:t>
      </w:r>
      <w:r w:rsidRPr="00A10E2A">
        <w:tab/>
      </w:r>
      <w:r w:rsidRPr="00A10E2A">
        <w:rPr>
          <w:color w:val="000000"/>
          <w:szCs w:val="18"/>
          <w:shd w:val="clear" w:color="auto" w:fill="FFFFFF" w:themeFill="background1"/>
        </w:rPr>
        <w:t>The provisions of this SECTION apply to all vacancies that occur in the position of executive director on or after the effective date of this act.</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A10E2A">
        <w:rPr>
          <w:color w:val="000000"/>
          <w:szCs w:val="18"/>
          <w:shd w:val="clear" w:color="auto" w:fill="FFFFFF" w:themeFill="background1"/>
        </w:rPr>
        <w:t>C.</w:t>
      </w:r>
      <w:r w:rsidRPr="00A10E2A">
        <w:rPr>
          <w:color w:val="000000"/>
          <w:szCs w:val="18"/>
          <w:shd w:val="clear" w:color="auto" w:fill="FFFFFF" w:themeFill="background1"/>
        </w:rPr>
        <w:tab/>
        <w:t>The commission appointed and confirmed under the provisions of SECTION 3 must submit an appointment for executive director to the Senate for advice and consent no later than sixty days after three members of the commission have been appointed, qualified, and confirmed as provided in SECTION 3. An executive director serving on the effective date of this act may continue to serve as executive director until a successor is appointed and qualifies, provided that if no successor has received the advice and consent of the Senate by May 13, 2021, or by the deadline for the confirmation of appointments in a sine die resolution that is passed in 2021, whichever is later, then the executive director position is vacated on the later of the two dates and is ineligible to serve as an interim or permanent executive director. If an executive director who is serving in holdover status is rejected by a vote of the Senate, then the executive director position is vacated on the date the executive director is rejected by a vote of the Senate and the executive director is ineligible to serve as an interim or permanent executive director of the State Election Commission.</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r w:rsidRPr="00A10E2A">
        <w:t>SECTION</w:t>
      </w:r>
      <w:r w:rsidRPr="00A10E2A">
        <w:tab/>
        <w:t>5.</w:t>
      </w:r>
      <w:r w:rsidRPr="00A10E2A">
        <w:tab/>
      </w:r>
      <w:r w:rsidRPr="00A10E2A">
        <w:rPr>
          <w:u w:color="000000" w:themeColor="text1"/>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D7270" w:rsidRPr="00A10E2A"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lang w:val="en-PH"/>
        </w:rPr>
      </w:pPr>
    </w:p>
    <w:p w:rsidR="008D7270" w:rsidRDefault="008D7270" w:rsidP="008D7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0E2A">
        <w:rPr>
          <w:rFonts w:eastAsia="Calibri"/>
          <w:lang w:val="en-PH"/>
        </w:rPr>
        <w:lastRenderedPageBreak/>
        <w:t>SECTION</w:t>
      </w:r>
      <w:r w:rsidRPr="00A10E2A">
        <w:rPr>
          <w:rFonts w:eastAsia="Calibri"/>
          <w:lang w:val="en-PH"/>
        </w:rPr>
        <w:tab/>
      </w:r>
      <w:r>
        <w:rPr>
          <w:rFonts w:eastAsia="Calibri"/>
          <w:lang w:val="en-PH"/>
        </w:rPr>
        <w:t>6</w:t>
      </w:r>
      <w:r w:rsidRPr="00A10E2A">
        <w:rPr>
          <w:rFonts w:eastAsia="Calibri"/>
          <w:lang w:val="en-PH"/>
        </w:rPr>
        <w:t>.</w:t>
      </w:r>
      <w:r w:rsidRPr="00A10E2A">
        <w:rPr>
          <w:rFonts w:eastAsia="Calibri"/>
          <w:lang w:val="en-PH"/>
        </w:rPr>
        <w:tab/>
        <w:t>This act shall take effect upon approval of the Governor.</w:t>
      </w:r>
    </w:p>
    <w:p w:rsidR="00CE78FD" w:rsidRDefault="00CE78FD" w:rsidP="00FF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2D2" w:rsidRDefault="005167C6" w:rsidP="00382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822D2" w:rsidSect="00AE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8FD" w:rsidRDefault="00CE78FD" w:rsidP="009F0C77">
      <w:r>
        <w:separator/>
      </w:r>
    </w:p>
  </w:endnote>
  <w:endnote w:type="continuationSeparator" w:id="0">
    <w:p w:rsidR="00CE78FD" w:rsidRDefault="00CE78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7382F99-A57D-4A3E-AC19-7845A459B6AD}"/>
    <w:embedBold r:id="rId2" w:fontKey="{580FB19A-2580-4885-80E6-3173AD6EBF79}"/>
  </w:font>
  <w:font w:name="Calibri">
    <w:panose1 w:val="020F0502020204030204"/>
    <w:charset w:val="00"/>
    <w:family w:val="swiss"/>
    <w:pitch w:val="variable"/>
    <w:sig w:usb0="E0002EFF" w:usb1="C000247B" w:usb2="00000009" w:usb3="00000000" w:csb0="000001FF" w:csb1="00000000"/>
    <w:embedRegular r:id="rId3" w:fontKey="{F5036D14-153B-459A-A0DD-9A4A7D550A2F}"/>
  </w:font>
  <w:font w:name="Segoe UI">
    <w:panose1 w:val="020B0502040204020203"/>
    <w:charset w:val="00"/>
    <w:family w:val="swiss"/>
    <w:pitch w:val="variable"/>
    <w:sig w:usb0="E4002EFF" w:usb1="C000E47F" w:usb2="00000009" w:usb3="00000000" w:csb0="000001FF" w:csb1="00000000"/>
    <w:embedRegular r:id="rId4" w:fontKey="{CD464447-DC88-42AE-BF56-FD4C4F8507F7}"/>
  </w:font>
  <w:font w:name="Cambria">
    <w:panose1 w:val="02040503050406030204"/>
    <w:charset w:val="00"/>
    <w:family w:val="roman"/>
    <w:pitch w:val="variable"/>
    <w:sig w:usb0="A00002EF" w:usb1="4000004B" w:usb2="00000000" w:usb3="00000000" w:csb0="0000019F" w:csb1="00000000"/>
    <w:embedRegular r:id="rId5" w:fontKey="{5566F796-641E-485B-983F-23F89B4FB3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749" w:rsidRPr="00463320" w:rsidRDefault="00463320" w:rsidP="00463320">
    <w:pPr>
      <w:pStyle w:val="Footer"/>
      <w:tabs>
        <w:tab w:val="clear" w:pos="4680"/>
        <w:tab w:val="clear" w:pos="9360"/>
        <w:tab w:val="center" w:pos="2995"/>
      </w:tabs>
      <w:spacing w:before="120"/>
    </w:pPr>
    <w:r>
      <w:t>[3444</w:t>
    </w:r>
    <w:r w:rsidR="00AE6474">
      <w:t>-</w:t>
    </w:r>
    <w:r w:rsidR="00AE6474">
      <w:fldChar w:fldCharType="begin"/>
    </w:r>
    <w:r w:rsidR="00AE6474">
      <w:instrText xml:space="preserve"> PAGE  \* MERGEFORMAT </w:instrText>
    </w:r>
    <w:r w:rsidR="00AE6474">
      <w:fldChar w:fldCharType="separate"/>
    </w:r>
    <w:r w:rsidR="003822D2">
      <w:rPr>
        <w:noProof/>
      </w:rPr>
      <w:t>1</w:t>
    </w:r>
    <w:r w:rsidR="00AE6474">
      <w:fldChar w:fldCharType="end"/>
    </w:r>
    <w:r w:rsidR="00AE647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474" w:rsidRPr="00463320" w:rsidRDefault="00AE6474" w:rsidP="00463320">
    <w:pPr>
      <w:pStyle w:val="Footer"/>
      <w:tabs>
        <w:tab w:val="clear" w:pos="4680"/>
        <w:tab w:val="clear" w:pos="9360"/>
        <w:tab w:val="center" w:pos="2995"/>
      </w:tabs>
      <w:spacing w:before="120"/>
    </w:pPr>
    <w:r>
      <w:t>[3444]</w:t>
    </w:r>
    <w:r>
      <w:tab/>
    </w:r>
    <w:r>
      <w:fldChar w:fldCharType="begin"/>
    </w:r>
    <w:r>
      <w:instrText xml:space="preserve"> PAGE  \* MERGEFORMAT </w:instrText>
    </w:r>
    <w:r>
      <w:fldChar w:fldCharType="separate"/>
    </w:r>
    <w:r w:rsidR="003822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8FD" w:rsidRDefault="00CE78FD" w:rsidP="009F0C77">
      <w:r>
        <w:separator/>
      </w:r>
    </w:p>
  </w:footnote>
  <w:footnote w:type="continuationSeparator" w:id="0">
    <w:p w:rsidR="00CE78FD" w:rsidRDefault="00CE78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5ZW21"/>
    <w:docVar w:name="CoverBillType" w:val="b"/>
    <w:docVar w:name="DocPath" w:val="L:\Council\bills\CC\15935ZW21.DOCX"/>
    <w:docVar w:name="dvBillNumber" w:val="3444"/>
    <w:docVar w:name="dvBillNumberPrefix" w:val="H. "/>
    <w:docVar w:name="dvOriginalBody" w:val="House"/>
    <w:docVar w:name="dvSteno" w:val="CC"/>
    <w:docVar w:name="NameofBody" w:val="h"/>
    <w:docVar w:name="vGroup2" w:val="Council"/>
  </w:docVars>
  <w:rsids>
    <w:rsidRoot w:val="00CE78FD"/>
    <w:rsid w:val="00011869"/>
    <w:rsid w:val="00015CD6"/>
    <w:rsid w:val="00037F5F"/>
    <w:rsid w:val="000C78E0"/>
    <w:rsid w:val="000E0100"/>
    <w:rsid w:val="000E1785"/>
    <w:rsid w:val="000F40FA"/>
    <w:rsid w:val="001035F1"/>
    <w:rsid w:val="00103B8E"/>
    <w:rsid w:val="0010776B"/>
    <w:rsid w:val="00133E66"/>
    <w:rsid w:val="001435A3"/>
    <w:rsid w:val="00146ED3"/>
    <w:rsid w:val="00151044"/>
    <w:rsid w:val="001D08F2"/>
    <w:rsid w:val="001D3A58"/>
    <w:rsid w:val="001D525B"/>
    <w:rsid w:val="001D7F4F"/>
    <w:rsid w:val="00205238"/>
    <w:rsid w:val="002321B6"/>
    <w:rsid w:val="00232912"/>
    <w:rsid w:val="00250967"/>
    <w:rsid w:val="00251C37"/>
    <w:rsid w:val="002543C8"/>
    <w:rsid w:val="0025541D"/>
    <w:rsid w:val="00284AAE"/>
    <w:rsid w:val="002E5912"/>
    <w:rsid w:val="00301B21"/>
    <w:rsid w:val="00325348"/>
    <w:rsid w:val="0032732C"/>
    <w:rsid w:val="00336AD0"/>
    <w:rsid w:val="0037079A"/>
    <w:rsid w:val="003822D2"/>
    <w:rsid w:val="0039669E"/>
    <w:rsid w:val="003C4DAB"/>
    <w:rsid w:val="003D01E8"/>
    <w:rsid w:val="003E5288"/>
    <w:rsid w:val="003F6D79"/>
    <w:rsid w:val="0041760A"/>
    <w:rsid w:val="00417C01"/>
    <w:rsid w:val="00422496"/>
    <w:rsid w:val="004403BD"/>
    <w:rsid w:val="00461441"/>
    <w:rsid w:val="00462EA9"/>
    <w:rsid w:val="00463320"/>
    <w:rsid w:val="00463D76"/>
    <w:rsid w:val="004809EE"/>
    <w:rsid w:val="004E7D54"/>
    <w:rsid w:val="005167C6"/>
    <w:rsid w:val="005273C6"/>
    <w:rsid w:val="00530A69"/>
    <w:rsid w:val="00545593"/>
    <w:rsid w:val="0055074B"/>
    <w:rsid w:val="00556EBF"/>
    <w:rsid w:val="00577C6C"/>
    <w:rsid w:val="00583901"/>
    <w:rsid w:val="005A62FE"/>
    <w:rsid w:val="005C2FE2"/>
    <w:rsid w:val="005E2BC9"/>
    <w:rsid w:val="00605102"/>
    <w:rsid w:val="00617242"/>
    <w:rsid w:val="006215AA"/>
    <w:rsid w:val="006913C9"/>
    <w:rsid w:val="0069470D"/>
    <w:rsid w:val="006D161B"/>
    <w:rsid w:val="006D58AA"/>
    <w:rsid w:val="007113BC"/>
    <w:rsid w:val="00734F00"/>
    <w:rsid w:val="00736959"/>
    <w:rsid w:val="00782AC4"/>
    <w:rsid w:val="007A70AE"/>
    <w:rsid w:val="007B7C36"/>
    <w:rsid w:val="008362E8"/>
    <w:rsid w:val="0085786E"/>
    <w:rsid w:val="008A1768"/>
    <w:rsid w:val="008A489F"/>
    <w:rsid w:val="008D7270"/>
    <w:rsid w:val="008F0F33"/>
    <w:rsid w:val="008F4429"/>
    <w:rsid w:val="0094021A"/>
    <w:rsid w:val="009B44AF"/>
    <w:rsid w:val="009C6A0B"/>
    <w:rsid w:val="009E45C3"/>
    <w:rsid w:val="009F0C77"/>
    <w:rsid w:val="009F4DD1"/>
    <w:rsid w:val="00A02543"/>
    <w:rsid w:val="00A41684"/>
    <w:rsid w:val="00A50C31"/>
    <w:rsid w:val="00A64E80"/>
    <w:rsid w:val="00A72BCD"/>
    <w:rsid w:val="00A741D9"/>
    <w:rsid w:val="00A81836"/>
    <w:rsid w:val="00A833AB"/>
    <w:rsid w:val="00A9741D"/>
    <w:rsid w:val="00AC34A2"/>
    <w:rsid w:val="00AD1C9A"/>
    <w:rsid w:val="00AD4B17"/>
    <w:rsid w:val="00AE6474"/>
    <w:rsid w:val="00B412D4"/>
    <w:rsid w:val="00B41EA1"/>
    <w:rsid w:val="00B44CAA"/>
    <w:rsid w:val="00B64FFF"/>
    <w:rsid w:val="00B67CD8"/>
    <w:rsid w:val="00BE3C22"/>
    <w:rsid w:val="00C0345E"/>
    <w:rsid w:val="00C21ABE"/>
    <w:rsid w:val="00C31C95"/>
    <w:rsid w:val="00C3483A"/>
    <w:rsid w:val="00C74E9D"/>
    <w:rsid w:val="00C826DD"/>
    <w:rsid w:val="00C82FD3"/>
    <w:rsid w:val="00C92819"/>
    <w:rsid w:val="00CC6B7B"/>
    <w:rsid w:val="00CD2089"/>
    <w:rsid w:val="00CE78FD"/>
    <w:rsid w:val="00D73A67"/>
    <w:rsid w:val="00D970A9"/>
    <w:rsid w:val="00DF3845"/>
    <w:rsid w:val="00DF674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87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EDFBE0-6D21-405B-A27B-F1AF2DF6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4C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D4F9E-C805-4E6C-B26B-AF0A669A8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3116</Words>
  <Characters>16200</Characters>
  <Application>Microsoft Office Word</Application>
  <DocSecurity>0</DocSecurity>
  <Lines>364</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3444 Text of Previous Version (May 13, 2021) - South Carolina Legislature Online</dc:title>
  <dc:creator>Chris Charlton</dc:creator>
  <cp:lastModifiedBy>Danny Crook</cp:lastModifiedBy>
  <cp:revision>2</cp:revision>
  <cp:lastPrinted>2020-12-14T15:59:00Z</cp:lastPrinted>
  <dcterms:created xsi:type="dcterms:W3CDTF">2021-05-13T16:45:00Z</dcterms:created>
  <dcterms:modified xsi:type="dcterms:W3CDTF">2021-05-13T16:45:00Z</dcterms:modified>
</cp:coreProperties>
</file>