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4607FF" w:rsidRDefault="004607FF" w:rsidP="004607FF">
      <w:pPr>
        <w:tabs>
          <w:tab w:val="right" w:pos="5933"/>
        </w:tabs>
        <w:suppressAutoHyphens/>
      </w:pPr>
      <w:r>
        <w:tab/>
      </w:r>
      <w:r>
        <w:rPr>
          <w:b/>
          <w:sz w:val="36"/>
        </w:rPr>
        <w:t>H. 3465</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B. Newton, Atkinson, Long, McCravy, Forrest, Caskey and Felder</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Default="004607FF" w:rsidP="001F3633">
      <w:pPr>
        <w:tabs>
          <w:tab w:val="right" w:pos="5933"/>
        </w:tabs>
        <w:suppressAutoHyphens/>
      </w:pPr>
      <w:r>
        <w:t>S. Printed 3/17/21--H.</w:t>
      </w:r>
      <w:r w:rsidR="001F3633">
        <w:tab/>
        <w:t>[SEC 3/18/21 1:21 PM]</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3465) </w:t>
      </w:r>
      <w:r w:rsidRPr="004607FF">
        <w:rPr>
          <w:color w:val="000000" w:themeColor="text1"/>
          <w:u w:color="000000" w:themeColor="text1"/>
        </w:rPr>
        <w:t>to amend the Code of Laws of South Carolina, 1976, by adding Section 59</w:t>
      </w:r>
      <w:r w:rsidRPr="004607FF">
        <w:rPr>
          <w:color w:val="000000" w:themeColor="text1"/>
          <w:u w:color="000000" w:themeColor="text1"/>
        </w:rPr>
        <w:noBreakHyphen/>
        <w:t>26</w:t>
      </w:r>
      <w:r w:rsidRPr="004607FF">
        <w:rPr>
          <w:color w:val="000000" w:themeColor="text1"/>
          <w:u w:color="000000" w:themeColor="text1"/>
        </w:rPr>
        <w:noBreakHyphen/>
        <w:t>42 so as to provide a person who holds a professional certificate issued by</w:t>
      </w:r>
      <w:r>
        <w:t>, etc., respectfully</w:t>
      </w: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D169D">
        <w:t xml:space="preserve">Amend the bill, as and if amended, by </w:t>
      </w:r>
      <w:r w:rsidRPr="003D169D">
        <w:rPr>
          <w:u w:color="000000" w:themeColor="text1"/>
        </w:rPr>
        <w:t>striking all after the enacting words and inserting:</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69D">
        <w:rPr>
          <w:u w:color="000000" w:themeColor="text1"/>
        </w:rPr>
        <w:t>/</w:t>
      </w:r>
      <w:r w:rsidRPr="003D169D">
        <w:rPr>
          <w:u w:color="000000" w:themeColor="text1"/>
        </w:rPr>
        <w:tab/>
      </w:r>
      <w:r w:rsidRPr="003D169D">
        <w:rPr>
          <w:u w:color="000000" w:themeColor="text1"/>
        </w:rPr>
        <w:tab/>
      </w:r>
      <w:r w:rsidRPr="003D169D">
        <w:rPr>
          <w:u w:color="000000" w:themeColor="text1"/>
        </w:rPr>
        <w:tab/>
        <w:t>SECTION</w:t>
      </w:r>
      <w:r w:rsidRPr="003D169D">
        <w:rPr>
          <w:u w:color="000000" w:themeColor="text1"/>
        </w:rPr>
        <w:tab/>
        <w:t>1.</w:t>
      </w:r>
      <w:r w:rsidRPr="003D169D">
        <w:rPr>
          <w:u w:color="000000" w:themeColor="text1"/>
        </w:rPr>
        <w:tab/>
      </w:r>
      <w:r w:rsidRPr="003D169D">
        <w:rPr>
          <w:u w:color="000000" w:themeColor="text1"/>
        </w:rPr>
        <w:tab/>
        <w:t>(A)(1)</w:t>
      </w:r>
      <w:r w:rsidRPr="003D169D">
        <w:rPr>
          <w:u w:color="000000" w:themeColor="text1"/>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districts based on socioeconomic and geographic factors. The committee shall also examine the need for veteran teachers to continue to meet certificate renewal requirements and the benefits and challenges of the State requiring and funding National Board Teacher Certification.</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(2)</w:t>
      </w:r>
      <w:r w:rsidRPr="003D169D">
        <w:rPr>
          <w:u w:color="000000" w:themeColor="text1"/>
        </w:rPr>
        <w:tab/>
        <w:t xml:space="preserve">The study committee shall recommend policies to support the development of higher standards for teacher credentialing and making teachers with such credentials available in areas of greatest need. It also shall </w:t>
      </w:r>
      <w:bookmarkStart w:id="0" w:name="temp"/>
      <w:bookmarkEnd w:id="0"/>
      <w:r w:rsidRPr="003D169D">
        <w:rPr>
          <w:u w:color="000000" w:themeColor="text1"/>
        </w:rPr>
        <w:t xml:space="preserve">recommend if certification requirements should be required of veteran teachers and, if not, what type of professional development should be mandated. The committee shall also report </w:t>
      </w:r>
      <w:r w:rsidRPr="003D169D">
        <w:rPr>
          <w:u w:color="000000" w:themeColor="text1"/>
        </w:rPr>
        <w:lastRenderedPageBreak/>
        <w:t>its finding as to issues the General Assembly should consider regarding National Board Certification.</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t>(B)(1)</w:t>
      </w:r>
      <w:r w:rsidRPr="003D169D">
        <w:rPr>
          <w:u w:color="000000" w:themeColor="text1"/>
        </w:rPr>
        <w:tab/>
        <w:t>The study committee is composed of eleven members, consisting of:</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(a)</w:t>
      </w:r>
      <w:r w:rsidRPr="003D169D">
        <w:rPr>
          <w:u w:color="000000" w:themeColor="text1"/>
        </w:rPr>
        <w:tab/>
        <w:t>two members of the Senate appointed by the Chair of the Senate Education Committee;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(b)</w:t>
      </w:r>
      <w:r w:rsidRPr="003D169D">
        <w:rPr>
          <w:u w:color="000000" w:themeColor="text1"/>
        </w:rPr>
        <w:tab/>
        <w:t>two members of the House of Representatives appointed by the Chair of the House Education and Public Works Committee;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(c)</w:t>
      </w:r>
      <w:r w:rsidRPr="003D169D">
        <w:rPr>
          <w:u w:color="000000" w:themeColor="text1"/>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one of which shall by appointed by the Chair of the Senate Education Committee and one appointed by the Chair of the House Education and Public Works Committee upon recommendation of the South Carolina Education Dean’s Alliance;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(d)</w:t>
      </w:r>
      <w:r w:rsidRPr="003D169D">
        <w:rPr>
          <w:u w:color="000000" w:themeColor="text1"/>
        </w:rPr>
        <w:tab/>
        <w:t>three parents of public school students appointed by the Governor; and</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(e)</w:t>
      </w:r>
      <w:r w:rsidRPr="003D169D">
        <w:rPr>
          <w:u w:color="000000" w:themeColor="text1"/>
        </w:rPr>
        <w:tab/>
        <w:t>two members with expertise in teacher certification appointed by the State Superintendent of Education.</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(2)</w:t>
      </w:r>
      <w:r w:rsidRPr="003D169D">
        <w:rPr>
          <w:u w:color="000000" w:themeColor="text1"/>
        </w:rPr>
        <w:tab/>
        <w:t>In making appointments to the study committee, consideration should be given to ensure the inclusion of diverse racial, ethnic, and gender perspectives representing districts throughout the State.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(3)</w:t>
      </w:r>
      <w:r w:rsidRPr="003D169D">
        <w:rPr>
          <w:u w:color="000000" w:themeColor="text1"/>
        </w:rPr>
        <w:tab/>
        <w:t>Vacancies in the study committee’s membership must be filled in the manner of original appointment.</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(4)</w:t>
      </w:r>
      <w:r w:rsidRPr="003D169D">
        <w:rPr>
          <w:u w:color="000000" w:themeColor="text1"/>
        </w:rPr>
        <w:tab/>
        <w:t>Members of the committee shall serve without per diem, mileage, or other compensation generally provided to members of boards and commissions.</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t>(C)</w:t>
      </w:r>
      <w:r w:rsidRPr="003D169D">
        <w:rPr>
          <w:u w:color="000000" w:themeColor="text1"/>
        </w:rPr>
        <w:tab/>
        <w:t>The Senate Education Committee and the House Education and Public Works Committee shall provide appropriate staffing for the study committee.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t>(D)</w:t>
      </w:r>
      <w:r w:rsidRPr="003D169D">
        <w:rPr>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69D">
        <w:rPr>
          <w:u w:color="000000" w:themeColor="text1"/>
        </w:rPr>
        <w:t>SECTION</w:t>
      </w:r>
      <w:r w:rsidRPr="003D169D">
        <w:rPr>
          <w:u w:color="000000" w:themeColor="text1"/>
        </w:rPr>
        <w:tab/>
        <w:t>2.</w:t>
      </w:r>
      <w:r w:rsidRPr="003D169D">
        <w:rPr>
          <w:u w:color="000000" w:themeColor="text1"/>
        </w:rPr>
        <w:tab/>
        <w:t>This act takes effect upon approval by the Governor.</w:t>
      </w:r>
      <w:r w:rsidRPr="003D169D">
        <w:rPr>
          <w:u w:color="000000" w:themeColor="text1"/>
        </w:rPr>
        <w:tab/>
      </w:r>
      <w:r w:rsidRPr="003D169D">
        <w:rPr>
          <w:u w:color="000000" w:themeColor="text1"/>
        </w:rPr>
        <w:tab/>
      </w:r>
      <w:r w:rsidRPr="003D169D">
        <w:rPr>
          <w:u w:color="000000" w:themeColor="text1"/>
        </w:rPr>
        <w:tab/>
      </w:r>
      <w:r w:rsidRPr="003D169D">
        <w:rPr>
          <w:u w:color="000000" w:themeColor="text1"/>
        </w:rPr>
        <w:tab/>
      </w:r>
      <w:r w:rsidRPr="003D169D">
        <w:rPr>
          <w:u w:color="000000" w:themeColor="text1"/>
        </w:rPr>
        <w:tab/>
        <w:t>/</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169D">
        <w:t>Renumber sections to conform.</w:t>
      </w:r>
    </w:p>
    <w:p w:rsid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169D">
        <w:t>Amend title to conform.</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MERITA A. ALLISON for Committee.</w:t>
      </w: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B200B1">
        <w:rPr>
          <w:b/>
          <w:bCs/>
        </w:rPr>
        <w:t>Explanation of Fiscal Impact</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B200B1">
        <w:rPr>
          <w:b/>
        </w:rPr>
        <w:t>State Expenditure</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tab/>
        <w:t>This bill allows a person who holds a professional certification issued by SDE for twenty or more years and who teaches in this State for twenty or more years to renew the certificate annually by participating in required district professional development without having to satisfy any additional renewal requirements.  The provisions of this bill apply notwithstanding to the provisions of the Certificate Renewal Plan developed by the Office of Teacher Certification or any other provision of law.</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rPr>
          <w:b/>
        </w:rPr>
        <w:t xml:space="preserve">State Department of Education.  </w:t>
      </w:r>
      <w:r w:rsidRPr="00B200B1">
        <w:t>SDE indicates that this bill will have no expenditure impact on the agency in FY 2021-22 since it does not alter the duties or responsibilities of the agency.</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rPr>
          <w:b/>
        </w:rPr>
        <w:t>State Agency Schools.</w:t>
      </w:r>
      <w:r w:rsidRPr="00B200B1">
        <w:t xml:space="preserve">  The Governor’s School for the Arts and Humanities indicates that the school currently funds professional development and any additional expenses associated with this bill could be managed within current appropriations. The Wil Lou Gray Opportunity School indicates that any expenses associated with this bill can be managed within current appropriations. Based upon these responses, we anticipate that any expenses for the Governor’s School for Science and Mathematics, the Governor’s School for Agriculture at John de la Howe, and the School for the Deaf and Blind could also be managed within current appropriations. Therefore, this bill is not expected to have an expenditure impact on the state agency schools in FY 2021-22. </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B200B1">
        <w:rPr>
          <w:b/>
          <w:bCs/>
        </w:rPr>
        <w:t>Local Expenditure</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tab/>
        <w:t>This bill allows a person who holds a professional certification issued by SDE for twenty or more years and who teaches in this State for twenty or more years to renew the certificate annually by participating in required district professional development without having to satisfy any additional renewal requirements.</w:t>
      </w:r>
    </w:p>
    <w:p w:rsidR="004607FF"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tab/>
        <w:t xml:space="preserve">SDE surveyed the seventy-nine local school districts and the two charter districts and received responses from nineteen districts.  Seventeen of the responding districts indicate that the bill will have no expenditure impact.  Two districts indicate that they intend to expend additional funds to expand current professional development programs.  Since the bill does not require districts to offer any additional professional development beyond the existing </w:t>
      </w:r>
      <w:r w:rsidRPr="00B200B1">
        <w:lastRenderedPageBreak/>
        <w:t xml:space="preserve">programs, we do not anticipate that this bill will increase expenses of local school districts in FY 2021-22. </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00B1" w:rsidRP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00B1" w:rsidSect="00460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2E7E" w:rsidRDefault="00FB2E7E"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ED" w:rsidRDefault="00AC0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61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F612D0"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3802" w:rsidRPr="009D244A">
        <w:rPr>
          <w:color w:val="000000" w:themeColor="text1"/>
          <w:u w:color="000000" w:themeColor="text1"/>
        </w:rPr>
        <w:t>Chapter 26, Title 59 of the 1976 Code is amended by adding:</w:t>
      </w: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0B1" w:rsidRDefault="00903802"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w:t>
      </w:r>
      <w:r w:rsidR="00B200B1">
        <w:rPr>
          <w:color w:val="000000" w:themeColor="text1"/>
          <w:u w:color="000000" w:themeColor="text1"/>
        </w:rPr>
        <w:t>sion of law.</w:t>
      </w:r>
      <w:r w:rsidR="001F3633">
        <w:rPr>
          <w:color w:val="000000" w:themeColor="text1"/>
          <w:u w:color="000000" w:themeColor="text1"/>
        </w:rPr>
        <w:t>”</w:t>
      </w:r>
    </w:p>
    <w:p w:rsidR="00903802" w:rsidRDefault="00903802" w:rsidP="00B200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D7D5F" w:rsidRDefault="0090380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1AB" w:rsidRDefault="008F71AB" w:rsidP="008F71AB">
      <w:pPr>
        <w:suppressAutoHyphens/>
      </w:pPr>
    </w:p>
    <w:sectPr w:rsidR="008F71AB" w:rsidSect="00460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4513864-065E-4230-B1AB-EE445D6B03EC}"/>
    <w:embedBold r:id="rId2" w:fontKey="{A5D24E90-8ED8-45EA-BAAE-3FD476CBB1E7}"/>
  </w:font>
  <w:font w:name="Calibri">
    <w:panose1 w:val="020F0502020204030204"/>
    <w:charset w:val="00"/>
    <w:family w:val="swiss"/>
    <w:pitch w:val="variable"/>
    <w:sig w:usb0="E0002EFF" w:usb1="C000247B" w:usb2="00000009" w:usb3="00000000" w:csb0="000001FF" w:csb1="00000000"/>
    <w:embedRegular r:id="rId3" w:fontKey="{6617D9BA-E3C3-4304-84B5-1EC8A29AE240}"/>
  </w:font>
  <w:font w:name="Segoe UI">
    <w:panose1 w:val="020B0502040204020203"/>
    <w:charset w:val="00"/>
    <w:family w:val="swiss"/>
    <w:pitch w:val="variable"/>
    <w:sig w:usb0="E4002EFF" w:usb1="C000E47F" w:usb2="00000009" w:usb3="00000000" w:csb0="000001FF" w:csb1="00000000"/>
    <w:embedRegular r:id="rId4" w:fontKey="{2E978EBA-5D95-49B6-863E-C7E954E95E60}"/>
  </w:font>
  <w:font w:name="Cambria">
    <w:panose1 w:val="02040503050406030204"/>
    <w:charset w:val="00"/>
    <w:family w:val="roman"/>
    <w:pitch w:val="variable"/>
    <w:sig w:usb0="E00006FF" w:usb1="420024FF" w:usb2="02000000" w:usb3="00000000" w:csb0="0000019F" w:csb1="00000000"/>
    <w:embedRegular r:id="rId5" w:fontKey="{66B03770-AC4B-46B5-9376-67E63DFCAF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5F" w:rsidRPr="00FB2E7E" w:rsidRDefault="00FB2E7E" w:rsidP="00FB2E7E">
    <w:pPr>
      <w:pStyle w:val="Footer"/>
      <w:tabs>
        <w:tab w:val="clear" w:pos="4680"/>
        <w:tab w:val="clear" w:pos="9360"/>
        <w:tab w:val="center" w:pos="2995"/>
      </w:tabs>
      <w:spacing w:before="120"/>
    </w:pPr>
    <w:r>
      <w:t>[3465</w:t>
    </w:r>
    <w:r w:rsidR="004607FF">
      <w:t>-</w:t>
    </w:r>
    <w:r w:rsidR="004607FF">
      <w:fldChar w:fldCharType="begin"/>
    </w:r>
    <w:r w:rsidR="004607FF">
      <w:instrText xml:space="preserve"> PAGE  \* MERGEFORMAT </w:instrText>
    </w:r>
    <w:r w:rsidR="004607FF">
      <w:fldChar w:fldCharType="separate"/>
    </w:r>
    <w:r w:rsidR="008F71AB">
      <w:rPr>
        <w:noProof/>
      </w:rPr>
      <w:t>4</w:t>
    </w:r>
    <w:r w:rsidR="004607FF">
      <w:fldChar w:fldCharType="end"/>
    </w:r>
    <w:r w:rsidR="004607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FF" w:rsidRPr="00FB2E7E" w:rsidRDefault="004607FF"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8F71A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9596D"/>
    <w:rsid w:val="000E0100"/>
    <w:rsid w:val="000E1785"/>
    <w:rsid w:val="000F40FA"/>
    <w:rsid w:val="001035F1"/>
    <w:rsid w:val="0010776B"/>
    <w:rsid w:val="00133E66"/>
    <w:rsid w:val="001435A3"/>
    <w:rsid w:val="00146ED3"/>
    <w:rsid w:val="00151044"/>
    <w:rsid w:val="001D08F2"/>
    <w:rsid w:val="001D3A58"/>
    <w:rsid w:val="001D525B"/>
    <w:rsid w:val="001D7F4F"/>
    <w:rsid w:val="001F363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7FF"/>
    <w:rsid w:val="00461441"/>
    <w:rsid w:val="004809EE"/>
    <w:rsid w:val="004E7D54"/>
    <w:rsid w:val="004F6725"/>
    <w:rsid w:val="005273C6"/>
    <w:rsid w:val="00530A69"/>
    <w:rsid w:val="00545593"/>
    <w:rsid w:val="00556EBF"/>
    <w:rsid w:val="005601C0"/>
    <w:rsid w:val="00577C6C"/>
    <w:rsid w:val="005A62FE"/>
    <w:rsid w:val="005C2FE2"/>
    <w:rsid w:val="005D7D5F"/>
    <w:rsid w:val="005E2BC9"/>
    <w:rsid w:val="00605102"/>
    <w:rsid w:val="006215AA"/>
    <w:rsid w:val="006913C9"/>
    <w:rsid w:val="0069470D"/>
    <w:rsid w:val="006D58AA"/>
    <w:rsid w:val="00734F00"/>
    <w:rsid w:val="00736959"/>
    <w:rsid w:val="007A70AE"/>
    <w:rsid w:val="008362E8"/>
    <w:rsid w:val="0085786E"/>
    <w:rsid w:val="008A1768"/>
    <w:rsid w:val="008A489F"/>
    <w:rsid w:val="008E7103"/>
    <w:rsid w:val="008F0F33"/>
    <w:rsid w:val="008F4429"/>
    <w:rsid w:val="008F71AB"/>
    <w:rsid w:val="00903802"/>
    <w:rsid w:val="0094021A"/>
    <w:rsid w:val="0097526A"/>
    <w:rsid w:val="00975AA7"/>
    <w:rsid w:val="009A1C4A"/>
    <w:rsid w:val="009B44AF"/>
    <w:rsid w:val="009C6A0B"/>
    <w:rsid w:val="009F0C77"/>
    <w:rsid w:val="009F4DD1"/>
    <w:rsid w:val="00A02543"/>
    <w:rsid w:val="00A41684"/>
    <w:rsid w:val="00A64E80"/>
    <w:rsid w:val="00A72BCD"/>
    <w:rsid w:val="00A741D9"/>
    <w:rsid w:val="00A833AB"/>
    <w:rsid w:val="00A9741D"/>
    <w:rsid w:val="00AC01ED"/>
    <w:rsid w:val="00AC34A2"/>
    <w:rsid w:val="00AD1C9A"/>
    <w:rsid w:val="00AD4B17"/>
    <w:rsid w:val="00B200B1"/>
    <w:rsid w:val="00B412D4"/>
    <w:rsid w:val="00B64FFF"/>
    <w:rsid w:val="00B950AF"/>
    <w:rsid w:val="00BE3C22"/>
    <w:rsid w:val="00C0345E"/>
    <w:rsid w:val="00C16407"/>
    <w:rsid w:val="00C21ABE"/>
    <w:rsid w:val="00C31C95"/>
    <w:rsid w:val="00C3483A"/>
    <w:rsid w:val="00C74E9D"/>
    <w:rsid w:val="00C826DD"/>
    <w:rsid w:val="00C82FD3"/>
    <w:rsid w:val="00C92819"/>
    <w:rsid w:val="00CA4F61"/>
    <w:rsid w:val="00CC6B7B"/>
    <w:rsid w:val="00CD2089"/>
    <w:rsid w:val="00D73A67"/>
    <w:rsid w:val="00D970A9"/>
    <w:rsid w:val="00DC5ADB"/>
    <w:rsid w:val="00DF3845"/>
    <w:rsid w:val="00E177A9"/>
    <w:rsid w:val="00E41911"/>
    <w:rsid w:val="00E44B57"/>
    <w:rsid w:val="00E92EEF"/>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067AA-FBC6-4455-91C2-C78CAD97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1172</Words>
  <Characters>6540</Characters>
  <Application>Microsoft Office Word</Application>
  <DocSecurity>0</DocSecurity>
  <Lines>176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Text of Previous Version (Mar. 18, 2021) - South Carolina Legislature Online</dc:title>
  <dc:creator>Rebecca Turner</dc:creator>
  <cp:lastModifiedBy>Danny Crook</cp:lastModifiedBy>
  <cp:revision>2</cp:revision>
  <cp:lastPrinted>2020-12-14T16:04:00Z</cp:lastPrinted>
  <dcterms:created xsi:type="dcterms:W3CDTF">2021-03-18T17:22:00Z</dcterms:created>
  <dcterms:modified xsi:type="dcterms:W3CDTF">2021-03-18T17:22:00Z</dcterms:modified>
</cp:coreProperties>
</file>