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B5B" w:rsidRDefault="00825B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5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D52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D4065">
        <w:rPr>
          <w:rFonts w:eastAsia="Times New Roman"/>
        </w:rPr>
        <w:t>TO AMEND SECTION 42-15-60, CODE OF LAWS OF SOUTH CAROLINA, 1976, RELATING TO THE TIME PERIOD MEDICAL TREATMENT AND SUPPLIES ARE FURNISHED, SO AS TO CLARIFY THAT MEDICAL TREATMENT AND SUPPLIES ARE FURNISHED FOR ANY ADDITIONAL TIME THAT THE JUDGMENT OF THE WORKERS’ COMPENSATION COMMISSION ESTABLISHED, BY THE PREPONDERANCE OF EVIDENCE CONTAINED IN THE MEDICAL RECORDS OR BY THE OPINION OF A MEDICAL PROVIDER, WILL LESSEN THE PERIOD OF DISABILITY; AND TO AMEND SECTION 42-17-40, RELATING TO THE CONDUCT OF A WORKERS’ COMPENSATION COMMISSION HEARING SO AS TO PROVIDE THAT MEDICAL RECORDS AND OPINIONS OF MEDICAL PROVIDERS ARE ADMISSIBLE WITHOUT REGARD TO THE RULES OF EVIDENCE.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5217" w:rsidRDefault="007D5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5217" w:rsidRDefault="007D5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SECTION</w:t>
      </w:r>
      <w:r w:rsidRPr="007D4065">
        <w:rPr>
          <w:rFonts w:eastAsia="Times New Roman"/>
        </w:rPr>
        <w:tab/>
        <w:t>1.</w:t>
      </w:r>
      <w:r w:rsidRPr="007D4065">
        <w:rPr>
          <w:rFonts w:eastAsia="Times New Roman"/>
        </w:rPr>
        <w:tab/>
        <w:t xml:space="preserve">Section 42-15-60(A) of the 1976 Code is amended to read: </w:t>
      </w: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ab/>
        <w:t>“Section 42-15-60.</w:t>
      </w:r>
      <w:r w:rsidRPr="007D4065">
        <w:rPr>
          <w:rFonts w:eastAsia="Times New Roman"/>
        </w:rPr>
        <w:tab/>
        <w:t>(A)</w:t>
      </w:r>
      <w:r w:rsidRPr="007D4065">
        <w:rPr>
          <w:rFonts w:eastAsia="Times New Roman"/>
        </w:rPr>
        <w:tab/>
        <w:t xml:space="preserve">The employer shall provide medical, surgical, hospital, and other treatment, including medical and surgical supplies as reasonably may be required, for a period not exceeding ten weeks from the date of an injury, to effect a cure or give relief and for </w:t>
      </w:r>
      <w:r w:rsidRPr="007D4065">
        <w:rPr>
          <w:rFonts w:eastAsia="Times New Roman"/>
          <w:strike/>
        </w:rPr>
        <w:t xml:space="preserve">an </w:t>
      </w:r>
      <w:r w:rsidRPr="007D4065">
        <w:rPr>
          <w:rFonts w:eastAsia="Times New Roman"/>
          <w:u w:val="single"/>
        </w:rPr>
        <w:t>any</w:t>
      </w:r>
      <w:r w:rsidRPr="007D4065">
        <w:rPr>
          <w:rFonts w:eastAsia="Times New Roman"/>
        </w:rPr>
        <w:t xml:space="preserve"> additional time as </w:t>
      </w:r>
      <w:r w:rsidRPr="007D4065">
        <w:rPr>
          <w:rFonts w:eastAsia="Times New Roman"/>
          <w:u w:val="single"/>
        </w:rPr>
        <w:t xml:space="preserve">that </w:t>
      </w:r>
      <w:r w:rsidRPr="007D4065">
        <w:rPr>
          <w:rFonts w:eastAsia="Times New Roman"/>
        </w:rPr>
        <w:t xml:space="preserve">in the judgment of the commission </w:t>
      </w:r>
      <w:r w:rsidRPr="007D4065">
        <w:rPr>
          <w:rFonts w:eastAsia="Times New Roman"/>
          <w:u w:val="single"/>
        </w:rPr>
        <w:t xml:space="preserve">established by the preponderance of the evidence contained in the medical records or by the opinion of a medical provider stated to a reasonable degree of medical certainty </w:t>
      </w:r>
      <w:r w:rsidRPr="007D4065">
        <w:rPr>
          <w:rFonts w:eastAsia="Times New Roman"/>
        </w:rPr>
        <w:t>will tend to lessen the period of disability</w:t>
      </w:r>
      <w:r w:rsidRPr="007D4065">
        <w:rPr>
          <w:rFonts w:eastAsia="Times New Roman"/>
          <w:strike/>
        </w:rPr>
        <w:t xml:space="preserve"> as evidenced by expert medical </w:t>
      </w:r>
      <w:r w:rsidRPr="007D4065">
        <w:rPr>
          <w:rFonts w:eastAsia="Times New Roman"/>
          <w:strike/>
        </w:rPr>
        <w:lastRenderedPageBreak/>
        <w:t>evidence stated to a reasonable degree of medical certainty</w:t>
      </w:r>
      <w:r w:rsidRPr="007D4065">
        <w:rPr>
          <w:rFonts w:eastAsia="Times New Roman"/>
        </w:rPr>
        <w:t xml:space="preserve">. </w:t>
      </w:r>
      <w:r w:rsidRPr="007D4065">
        <w:rPr>
          <w:rFonts w:eastAsia="Times New Roman"/>
          <w:strike/>
        </w:rPr>
        <w:t xml:space="preserve">In addition to it, the </w:t>
      </w:r>
      <w:r w:rsidRPr="007D4065">
        <w:rPr>
          <w:rFonts w:eastAsia="Times New Roman"/>
          <w:u w:val="single"/>
        </w:rPr>
        <w:t>If any</w:t>
      </w:r>
      <w:r w:rsidRPr="007D4065">
        <w:rPr>
          <w:rFonts w:eastAsia="Times New Roman"/>
        </w:rPr>
        <w:t xml:space="preserve"> original artificial </w:t>
      </w:r>
      <w:r w:rsidRPr="001C26B8">
        <w:rPr>
          <w:rFonts w:eastAsia="Times New Roman"/>
          <w:strike/>
        </w:rPr>
        <w:t xml:space="preserve">members </w:t>
      </w:r>
      <w:r w:rsidRPr="007D4065">
        <w:rPr>
          <w:rFonts w:eastAsia="Times New Roman"/>
          <w:u w:val="single"/>
        </w:rPr>
        <w:t>member is</w:t>
      </w:r>
      <w:r w:rsidRPr="001C26B8">
        <w:rPr>
          <w:rFonts w:eastAsia="Times New Roman"/>
          <w:strike/>
        </w:rPr>
        <w:t xml:space="preserve"> as</w:t>
      </w:r>
      <w:r w:rsidRPr="007D4065">
        <w:rPr>
          <w:rFonts w:eastAsia="Times New Roman"/>
        </w:rPr>
        <w:t xml:space="preserve"> reasonably </w:t>
      </w:r>
      <w:r w:rsidRPr="001C26B8">
        <w:rPr>
          <w:rFonts w:eastAsia="Times New Roman"/>
          <w:strike/>
        </w:rPr>
        <w:t xml:space="preserve">may be </w:t>
      </w:r>
      <w:r w:rsidRPr="007D4065">
        <w:rPr>
          <w:rFonts w:eastAsia="Times New Roman"/>
        </w:rPr>
        <w:t>necessary</w:t>
      </w:r>
      <w:r w:rsidRPr="007D4065">
        <w:rPr>
          <w:rFonts w:eastAsia="Times New Roman"/>
          <w:u w:val="single"/>
        </w:rPr>
        <w:t>, it</w:t>
      </w:r>
      <w:r w:rsidRPr="007D4065">
        <w:rPr>
          <w:rFonts w:eastAsia="Times New Roman"/>
        </w:rPr>
        <w:t xml:space="preserve"> must be provided by the employer. During any period of disability resulting from the injury, the employer, at his own option, may continue to furnish or cause to be furnished, free of charge to the employee, and the employee shall accept, an attending physician and any medical care or treatment that is considered necessary by the attending physician, unless otherwise ordered by the commission for good cause shown. The refusal of an employee to accept any medical, hospital, surgical, or other treatment or evaluation when provided by the employer or ordered by the commission bars the employee from further compensation until the refusal ceases and compensation is not paid for the period of refusal unless in the opinion of the commission the circumstances justified the refusal, in which case the commission may order a change in the medical or hospital service. If in an emergency, on account of the employer’s failure to provide the medical care as specified in this section, a physician other than provided by the employer is called to treat the employee, the reasonable cost of the service must be paid by the employer, if ordered by the commission.”</w:t>
      </w: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SECTION</w:t>
      </w:r>
      <w:r w:rsidRPr="007D4065">
        <w:rPr>
          <w:rFonts w:eastAsia="Times New Roman"/>
        </w:rPr>
        <w:tab/>
        <w:t>2.</w:t>
      </w:r>
      <w:r w:rsidRPr="007D4065">
        <w:rPr>
          <w:rFonts w:eastAsia="Times New Roman"/>
        </w:rPr>
        <w:tab/>
        <w:t>Section 42-17-40(A) of the 1976 Code is amended to read:</w:t>
      </w: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4065" w:rsidRPr="007D4065"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4065">
        <w:rPr>
          <w:rFonts w:eastAsia="Times New Roman"/>
        </w:rPr>
        <w:tab/>
        <w:t>“Section 42-17-40.</w:t>
      </w:r>
      <w:r w:rsidRPr="007D4065">
        <w:rPr>
          <w:rFonts w:eastAsia="Times New Roman"/>
        </w:rPr>
        <w:tab/>
        <w:t>(A)</w:t>
      </w:r>
      <w:r w:rsidRPr="007D4065">
        <w:rPr>
          <w:rFonts w:eastAsia="Times New Roman"/>
        </w:rPr>
        <w:tab/>
        <w:t xml:space="preserve">The commission or any of its members shall hear the parties at issue and their representatives and witnesses and shall determine the dispute in a summary manner. </w:t>
      </w:r>
      <w:r w:rsidRPr="007D4065">
        <w:rPr>
          <w:rFonts w:eastAsia="Times New Roman"/>
          <w:u w:val="single"/>
        </w:rPr>
        <w:t xml:space="preserve">Medical records and opinions of medical providers are admissible without regard to the rules of evidence. </w:t>
      </w:r>
      <w:r w:rsidRPr="007D4065">
        <w:rPr>
          <w:rFonts w:eastAsia="Times New Roman"/>
        </w:rPr>
        <w:t>The award, together with a statement of the findings of fact, rulings of law, and other matters pertinent to the questions at issue, must be filed with the record of the proceedings and a copy of the award must immediately be sent to the parties in dispute. The parties may be heard by a deputy, in which event he shall swear or cause the witnesses to be sworn and shall transmit all testimony to the commission for its determination and award.”</w:t>
      </w:r>
    </w:p>
    <w:p w:rsidR="007D5217" w:rsidRDefault="007D5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5217" w:rsidRPr="00522CE0" w:rsidRDefault="007D5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39E3">
        <w:rPr>
          <w:rFonts w:eastAsia="Times New Roman"/>
        </w:rPr>
        <w:t>3</w:t>
      </w:r>
      <w:r>
        <w:rPr>
          <w:rFonts w:eastAsia="Times New Roman"/>
        </w:rPr>
        <w:t>.</w:t>
      </w:r>
      <w:r>
        <w:rPr>
          <w:rFonts w:eastAsia="Times New Roman"/>
        </w:rPr>
        <w:tab/>
        <w:t>This act takes effect upon approval by the Governor.</w:t>
      </w:r>
    </w:p>
    <w:p w:rsidR="003E4B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5B5B" w:rsidRDefault="00825B5B" w:rsidP="00825B5B">
      <w:pPr>
        <w:suppressAutoHyphens/>
        <w:jc w:val="both"/>
        <w:rPr>
          <w:rFonts w:eastAsia="Times New Roman"/>
        </w:rPr>
      </w:pPr>
    </w:p>
    <w:sectPr w:rsidR="00825B5B" w:rsidSect="00825B5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065" w:rsidRDefault="007D4065" w:rsidP="00522CE0">
      <w:r>
        <w:separator/>
      </w:r>
    </w:p>
  </w:endnote>
  <w:endnote w:type="continuationSeparator" w:id="0">
    <w:p w:rsidR="007D4065" w:rsidRDefault="007D40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F13830-DABC-49EF-81BA-F9109BA23EF1}"/>
    <w:embedBold r:id="rId2" w:fontKey="{68B9C108-A980-4A5F-8E69-FF08D0852552}"/>
  </w:font>
  <w:font w:name="Calibri">
    <w:panose1 w:val="020F0502020204030204"/>
    <w:charset w:val="00"/>
    <w:family w:val="swiss"/>
    <w:pitch w:val="variable"/>
    <w:sig w:usb0="E4002EFF" w:usb1="C000247B" w:usb2="00000009" w:usb3="00000000" w:csb0="000001FF" w:csb1="00000000"/>
    <w:embedRegular r:id="rId3" w:fontKey="{88CDB5EC-3B61-480A-A27E-1A1D13AEA6F5}"/>
  </w:font>
  <w:font w:name="Cambria">
    <w:panose1 w:val="02040503050406030204"/>
    <w:charset w:val="00"/>
    <w:family w:val="roman"/>
    <w:pitch w:val="variable"/>
    <w:sig w:usb0="E00006FF" w:usb1="420024FF" w:usb2="02000000" w:usb3="00000000" w:csb0="0000019F" w:csb1="00000000"/>
    <w:embedRegular r:id="rId4" w:fontKey="{08F617E3-E584-490A-89F0-6302905815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B08" w:rsidRPr="00825B5B" w:rsidRDefault="00825B5B" w:rsidP="00825B5B">
    <w:pPr>
      <w:pStyle w:val="Footer"/>
      <w:tabs>
        <w:tab w:val="clear" w:pos="4680"/>
        <w:tab w:val="clear" w:pos="9360"/>
        <w:tab w:val="center" w:pos="2995"/>
      </w:tabs>
      <w:spacing w:before="120"/>
    </w:pPr>
    <w:r>
      <w:t>[366]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065" w:rsidRDefault="007D4065" w:rsidP="00522CE0">
      <w:r>
        <w:separator/>
      </w:r>
    </w:p>
  </w:footnote>
  <w:footnote w:type="continuationSeparator" w:id="0">
    <w:p w:rsidR="007D4065" w:rsidRDefault="007D40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8.MDB"/>
    <w:docVar w:name="CoverAttorneyInitials" w:val="MDB"/>
    <w:docVar w:name="CoverAttorneyLastName" w:val="Baker"/>
    <w:docVar w:name="CoverBillType" w:val="b"/>
    <w:docVar w:name="DraftFileName" w:val="JUD0018.MDB.DOCX"/>
    <w:docVar w:name="DraftStenoName" w:val="Henry"/>
    <w:docVar w:name="dvBillNumber" w:val="366"/>
    <w:docVar w:name="dvBillNumberPrefix" w:val="S. "/>
    <w:docVar w:name="dvOriginalBody" w:val="Senate"/>
    <w:docVar w:name="fulldraftpath" w:val="L:\S-JUD\BILLS\Talley\JUD0018.MDB.DOCX"/>
    <w:docVar w:name="NameofBody" w:val="S"/>
    <w:docVar w:name="SenatorFolderName" w:val="Talley"/>
    <w:docVar w:name="VGROUP2" w:val="S-JUD"/>
  </w:docVars>
  <w:rsids>
    <w:rsidRoot w:val="007D5217"/>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C26B8"/>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4B08"/>
    <w:rsid w:val="003E7597"/>
    <w:rsid w:val="0040790C"/>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5EFD"/>
    <w:rsid w:val="00746551"/>
    <w:rsid w:val="0076552B"/>
    <w:rsid w:val="00765784"/>
    <w:rsid w:val="00785E76"/>
    <w:rsid w:val="007A4390"/>
    <w:rsid w:val="007C65B0"/>
    <w:rsid w:val="007D4065"/>
    <w:rsid w:val="007D5217"/>
    <w:rsid w:val="007E3B8F"/>
    <w:rsid w:val="007E5CB7"/>
    <w:rsid w:val="00814EED"/>
    <w:rsid w:val="00825B5B"/>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39E3"/>
    <w:rsid w:val="00BB754E"/>
    <w:rsid w:val="00BC0A56"/>
    <w:rsid w:val="00C23348"/>
    <w:rsid w:val="00C3402E"/>
    <w:rsid w:val="00C6454A"/>
    <w:rsid w:val="00C74052"/>
    <w:rsid w:val="00CB187A"/>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ED6FAF"/>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33CE073-B423-4AEB-A727-896D56143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602</Words>
  <Characters>3014</Characters>
  <Application>Microsoft Office Word</Application>
  <DocSecurity>0</DocSecurity>
  <Lines>82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 Text of Previous Version (Dec. 9, 2020) - South Carolina Legislature Online</dc:title>
  <dc:subject/>
  <dc:creator>Maura Baker</dc:creator>
  <cp:keywords/>
  <dc:description/>
  <cp:lastModifiedBy>Sade Wilson</cp:lastModifiedBy>
  <cp:revision>2</cp:revision>
  <dcterms:created xsi:type="dcterms:W3CDTF">2020-12-12T04:56:00Z</dcterms:created>
  <dcterms:modified xsi:type="dcterms:W3CDTF">2020-12-12T04:56:00Z</dcterms:modified>
</cp:coreProperties>
</file>