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295"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6444F"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2021</w:t>
      </w:r>
    </w:p>
    <w:p w:rsidR="0086444F"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44F" w:rsidRPr="0086444F" w:rsidRDefault="0086444F" w:rsidP="0086444F">
      <w:pPr>
        <w:tabs>
          <w:tab w:val="right" w:pos="5933"/>
        </w:tabs>
        <w:suppressAutoHyphens/>
      </w:pPr>
      <w:r>
        <w:tab/>
      </w:r>
      <w:r>
        <w:rPr>
          <w:b/>
          <w:sz w:val="36"/>
        </w:rPr>
        <w:t>H. 3707</w:t>
      </w:r>
    </w:p>
    <w:p w:rsidR="0086444F"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44F"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02EC">
        <w:t>Ways and Means Committee</w:t>
      </w:r>
    </w:p>
    <w:p w:rsidR="0086444F"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44F" w:rsidRDefault="0086444F" w:rsidP="009C7A71">
      <w:pPr>
        <w:tabs>
          <w:tab w:val="right" w:pos="5933"/>
        </w:tabs>
        <w:suppressAutoHyphens/>
      </w:pPr>
      <w:r>
        <w:t>S. Printed 2/3/21--S.</w:t>
      </w:r>
      <w:r w:rsidR="009C7A71">
        <w:tab/>
        <w:t>[SEC 2/4/21 12:28 PM]</w:t>
      </w:r>
    </w:p>
    <w:p w:rsidR="0086444F"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2021.</w:t>
      </w:r>
    </w:p>
    <w:p w:rsidR="0086444F" w:rsidRPr="0086444F"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444F"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44F" w:rsidRPr="0086444F"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86444F"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3707) to make appropriations for the state’s public health response to the COVID-19 virus, etc., respectfully</w:t>
      </w:r>
    </w:p>
    <w:p w:rsidR="0086444F" w:rsidRPr="0086444F"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6444F"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6444F"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56C7">
        <w:rPr>
          <w:snapToGrid w:val="0"/>
        </w:rPr>
        <w:tab/>
        <w:t>Amend the joint resolution, as and if amended, by striking SECTIONS 2 and 3 and inserting:</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5B56C7">
        <w:rPr>
          <w:snapToGrid w:val="0"/>
        </w:rPr>
        <w:t>/</w:t>
      </w:r>
      <w:r w:rsidRPr="005B56C7">
        <w:rPr>
          <w:snapToGrid w:val="0"/>
        </w:rPr>
        <w:tab/>
      </w:r>
      <w:r w:rsidRPr="005B56C7">
        <w:rPr>
          <w:snapToGrid w:val="0"/>
        </w:rPr>
        <w:tab/>
      </w:r>
      <w:r w:rsidRPr="005B56C7">
        <w:rPr>
          <w:u w:color="000000" w:themeColor="text1"/>
        </w:rPr>
        <w:t>SECTION</w:t>
      </w:r>
      <w:r w:rsidRPr="005B56C7">
        <w:rPr>
          <w:u w:color="000000" w:themeColor="text1"/>
        </w:rPr>
        <w:tab/>
        <w:t>2.</w:t>
      </w:r>
      <w:r w:rsidRPr="005B56C7">
        <w:rPr>
          <w:u w:color="000000" w:themeColor="text1"/>
        </w:rPr>
        <w:tab/>
        <w:t>(A)</w:t>
      </w:r>
      <w:r w:rsidRPr="005B56C7">
        <w:rPr>
          <w:u w:color="000000" w:themeColor="text1"/>
        </w:rPr>
        <w:tab/>
        <w:t>The Executive Budget Office shall establish the COVID</w:t>
      </w:r>
      <w:r w:rsidRPr="005B56C7">
        <w:rPr>
          <w:u w:color="000000" w:themeColor="text1"/>
        </w:rPr>
        <w:noBreakHyphen/>
        <w:t xml:space="preserve">19 Vaccine Reserve account to be maintained by the Executive Budget Office and administered as set forth in this section. </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56C7">
        <w:rPr>
          <w:u w:color="000000" w:themeColor="text1"/>
        </w:rPr>
        <w:tab/>
        <w:t>(B)</w:t>
      </w:r>
      <w:r w:rsidRPr="005B56C7">
        <w:rPr>
          <w:u w:color="000000" w:themeColor="text1"/>
        </w:rPr>
        <w:tab/>
        <w:t>From the Contingency Reserve Fund, there is appropriated $100,000,000 to the COVID</w:t>
      </w:r>
      <w:r w:rsidRPr="005B56C7">
        <w:rPr>
          <w:u w:color="000000" w:themeColor="text1"/>
        </w:rPr>
        <w:noBreakHyphen/>
        <w:t>19 Vaccine Reserve account. The Executive Budget Office only may release funds in the account upon receipt of a letter signed by the Director of DHEC.  DHEC shall allocate funds to eligible COVID</w:t>
      </w:r>
      <w:r w:rsidRPr="005B56C7">
        <w:rPr>
          <w:u w:color="000000" w:themeColor="text1"/>
        </w:rPr>
        <w:noBreakHyphen/>
        <w:t>19 vaccine providers in support of statewide vaccination efforts.  DHEC shall reimburse eligible providers only after affirming the recipient is a COVID</w:t>
      </w:r>
      <w:r w:rsidRPr="005B56C7">
        <w:rPr>
          <w:u w:color="000000" w:themeColor="text1"/>
        </w:rPr>
        <w:noBreakHyphen/>
        <w:t>19 vaccination provider enrolled and activated by DHEC, that DHEC has determined that the request will assist the State in its effort to achieve statewide vaccination, and that the enrolled and activated provider has the vaccine implementation capacity to justify the request.</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56C7">
        <w:rPr>
          <w:u w:color="000000" w:themeColor="text1"/>
        </w:rPr>
        <w:tab/>
        <w:t>(C)(1)</w:t>
      </w:r>
      <w:r w:rsidRPr="005B56C7">
        <w:rPr>
          <w:u w:color="000000" w:themeColor="text1"/>
        </w:rPr>
        <w:tab/>
        <w:t>From the funds appropriated in this section, the Executive Budget Office shall allocate up to $75,000,000 to hospitals, or a political subdivision of the State partnering with the same, to pay for the costs of administering the COVID</w:t>
      </w:r>
      <w:r w:rsidRPr="005B56C7">
        <w:rPr>
          <w:u w:color="000000" w:themeColor="text1"/>
        </w:rPr>
        <w:noBreakHyphen/>
        <w:t>19 vaccine.</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56C7">
        <w:rPr>
          <w:u w:color="000000" w:themeColor="text1"/>
        </w:rPr>
        <w:lastRenderedPageBreak/>
        <w:tab/>
      </w:r>
      <w:r w:rsidRPr="005B56C7">
        <w:rPr>
          <w:u w:color="000000" w:themeColor="text1"/>
        </w:rPr>
        <w:tab/>
        <w:t>(2)</w:t>
      </w:r>
      <w:r w:rsidRPr="005B56C7">
        <w:rPr>
          <w:u w:color="000000" w:themeColor="text1"/>
        </w:rPr>
        <w:tab/>
        <w:t>From the funds appropriated in this section, the Executive Budget Office shall allocate up to $25,000,000 to other COVID-19 vaccination providers, or a political subdivision of the State partnering with the same, that are enrolled and activated by DHEC, to pay for the costs of administering the COVID</w:t>
      </w:r>
      <w:r w:rsidRPr="005B56C7">
        <w:rPr>
          <w:u w:color="000000" w:themeColor="text1"/>
        </w:rPr>
        <w:noBreakHyphen/>
        <w:t>19 vaccine.</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56C7">
        <w:rPr>
          <w:u w:color="000000" w:themeColor="text1"/>
        </w:rPr>
        <w:tab/>
      </w:r>
      <w:r w:rsidRPr="005B56C7">
        <w:rPr>
          <w:u w:color="000000" w:themeColor="text1"/>
        </w:rPr>
        <w:tab/>
        <w:t>(3)</w:t>
      </w:r>
      <w:r w:rsidRPr="005B56C7">
        <w:rPr>
          <w:u w:color="000000" w:themeColor="text1"/>
        </w:rPr>
        <w:tab/>
        <w:t>For purposes of this section, eligible costs of administering the COVID</w:t>
      </w:r>
      <w:r w:rsidRPr="005B56C7">
        <w:rPr>
          <w:u w:color="000000" w:themeColor="text1"/>
        </w:rPr>
        <w:noBreakHyphen/>
        <w:t>19 vaccine include, but are not limited to, those vaccination costs associated with staffing, facility rental, security, traffic control, storage, transportation, mobile health units including the purchase, upfitting, staffing, and operations thereof, and technology that have not been reimbursed by an insurer’s administration fee.</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56C7">
        <w:rPr>
          <w:u w:color="000000" w:themeColor="text1"/>
        </w:rPr>
        <w:tab/>
        <w:t>(D)</w:t>
      </w:r>
      <w:r w:rsidRPr="005B56C7">
        <w:rPr>
          <w:u w:color="000000" w:themeColor="text1"/>
        </w:rPr>
        <w:tab/>
        <w:t>In approving expenses, DHEC must give priority to hospitals and other COVID-19 vaccine providers that are enrolled and activated by DHEC that can prove or have proven a high demand for the vaccine and the ability to meet the demand.</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56C7">
        <w:rPr>
          <w:u w:color="000000" w:themeColor="text1"/>
        </w:rPr>
        <w:tab/>
        <w:t>(E)</w:t>
      </w:r>
      <w:r w:rsidRPr="005B56C7">
        <w:rPr>
          <w:u w:color="000000" w:themeColor="text1"/>
        </w:rPr>
        <w:tab/>
        <w:t>Notwithstanding any other provision of this section, the Director of DHEC may not authorize the Executive Budget Office to release any funds from the COVID</w:t>
      </w:r>
      <w:r w:rsidRPr="005B56C7">
        <w:rPr>
          <w:u w:color="000000" w:themeColor="text1"/>
        </w:rPr>
        <w:noBreakHyphen/>
        <w:t>19 Vaccine Reserve account to any vaccine provider that is not offering vaccine appointments to the general public.</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56C7">
        <w:rPr>
          <w:u w:color="000000" w:themeColor="text1"/>
        </w:rPr>
        <w:tab/>
        <w:t>(F)</w:t>
      </w:r>
      <w:r w:rsidRPr="005B56C7">
        <w:rPr>
          <w:u w:color="000000" w:themeColor="text1"/>
        </w:rPr>
        <w:tab/>
        <w:t>On the first day of each month, the Executive Budget Office shall provide a detailed accounting of the expenditure of all funds appropriated pursuant to this section. The report shall be transmitted to the Governor, the General Assembly, and made available on the website of the Executive Budget Office. Additionally, any recipient must provide an accounting of the expenditures to DHEC and DHEC must post the accounting on its website.</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56C7">
        <w:rPr>
          <w:u w:color="000000" w:themeColor="text1"/>
        </w:rPr>
        <w:t>SECTION</w:t>
      </w:r>
      <w:r w:rsidRPr="005B56C7">
        <w:rPr>
          <w:u w:color="000000" w:themeColor="text1"/>
        </w:rPr>
        <w:tab/>
        <w:t>3.</w:t>
      </w:r>
      <w:r w:rsidRPr="005B56C7">
        <w:rPr>
          <w:u w:color="000000" w:themeColor="text1"/>
        </w:rPr>
        <w:tab/>
        <w:t>(A)(1)</w:t>
      </w:r>
      <w:r w:rsidRPr="005B56C7">
        <w:rPr>
          <w:u w:color="000000" w:themeColor="text1"/>
        </w:rPr>
        <w:tab/>
        <w:t xml:space="preserve">Where appropriate and feasible, hospitals, medical providers, and other stakeholders receiving distributions pursuant to this joint resolution also shall seek reimbursement from an individual’s public or private health insurer.  </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56C7">
        <w:rPr>
          <w:u w:color="000000" w:themeColor="text1"/>
        </w:rPr>
        <w:tab/>
        <w:t>(B)</w:t>
      </w:r>
      <w:r w:rsidRPr="005B56C7">
        <w:rPr>
          <w:u w:color="000000" w:themeColor="text1"/>
        </w:rPr>
        <w:tab/>
        <w:t>To maximize the benefit of all funds received by the State, DHEC and MUSC shall work with the Department of Administration to assure that available federal funds are utilized for the purposes of this joint resolution appropriately and minimize the use of state funds where possible.</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56C7">
        <w:rPr>
          <w:u w:color="000000" w:themeColor="text1"/>
        </w:rPr>
        <w:tab/>
        <w:t>(C)</w:t>
      </w:r>
      <w:r w:rsidRPr="005B56C7">
        <w:rPr>
          <w:u w:color="000000" w:themeColor="text1"/>
        </w:rPr>
        <w:tab/>
        <w:t>If hospitals, medical providers, and other stakeholders receive distributions pursuant to this joint resolution also receive reimbursements from insurers or federal f</w:t>
      </w:r>
      <w:r w:rsidRPr="005B56C7">
        <w:t>unds for the same purposes, then the distributions pursuant to this joint resolution exceeding the actual costs of vaccine administration must be remitted back to the agency or fund that distributed the funds.</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56C7">
        <w:rPr>
          <w:u w:color="000000" w:themeColor="text1"/>
        </w:rPr>
        <w:lastRenderedPageBreak/>
        <w:tab/>
        <w:t>(D)</w:t>
      </w:r>
      <w:r w:rsidRPr="005B56C7">
        <w:rPr>
          <w:u w:color="000000" w:themeColor="text1"/>
        </w:rPr>
        <w:tab/>
        <w:t xml:space="preserve">The provisions of this joint resolution shall apply to the extent permitted by federal law. </w:t>
      </w:r>
      <w:r w:rsidRPr="005B56C7">
        <w:rPr>
          <w:u w:color="000000" w:themeColor="text1"/>
        </w:rPr>
        <w:tab/>
      </w:r>
      <w:r w:rsidRPr="005B56C7">
        <w:rPr>
          <w:u w:color="000000" w:themeColor="text1"/>
        </w:rPr>
        <w:tab/>
        <w:t>/</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56C7">
        <w:rPr>
          <w:u w:color="000000" w:themeColor="text1"/>
        </w:rPr>
        <w:t>Amend the joint resolution further, by striking SECTION 5 and inserting:</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u w:color="000000" w:themeColor="text1"/>
        </w:rPr>
        <w:tab/>
      </w:r>
      <w:r w:rsidRPr="005B56C7">
        <w:rPr>
          <w:u w:color="000000" w:themeColor="text1"/>
        </w:rPr>
        <w:t>/</w:t>
      </w:r>
      <w:r w:rsidRPr="005B56C7">
        <w:rPr>
          <w:u w:color="000000" w:themeColor="text1"/>
        </w:rPr>
        <w:tab/>
      </w:r>
      <w:r w:rsidRPr="005B56C7">
        <w:rPr>
          <w:u w:color="000000" w:themeColor="text1"/>
        </w:rPr>
        <w:tab/>
      </w:r>
      <w:r w:rsidRPr="005B56C7">
        <w:t>SECTION</w:t>
      </w:r>
      <w:r w:rsidRPr="005B56C7">
        <w:tab/>
        <w:t>5.</w:t>
      </w:r>
      <w:r w:rsidRPr="005B56C7">
        <w:tab/>
        <w:t>A. (A)</w:t>
      </w:r>
      <w:r w:rsidRPr="005B56C7">
        <w:tab/>
        <w:t xml:space="preserve">Beginning fourteen days after the effective date of this joint resolution, all vaccines received by the state which have not already been set for distribution  must be </w:t>
      </w:r>
      <w:r w:rsidRPr="005B56C7">
        <w:rPr>
          <w:rFonts w:eastAsia="Calibri"/>
          <w:u w:color="000000"/>
        </w:rPr>
        <w:t>allocated to the four DHEC public health regions in a per</w:t>
      </w:r>
      <w:r w:rsidRPr="005B56C7">
        <w:rPr>
          <w:rFonts w:eastAsia="Calibri"/>
          <w:u w:color="000000"/>
        </w:rPr>
        <w:noBreakHyphen/>
        <w:t>capita manner with considerations taken into account for factors, including but not limited to poverty level, infection rates, age, and high</w:t>
      </w:r>
      <w:r w:rsidRPr="005B56C7">
        <w:rPr>
          <w:rFonts w:eastAsia="Calibri"/>
          <w:u w:color="000000"/>
        </w:rPr>
        <w:noBreakHyphen/>
        <w:t xml:space="preserve">risk populations.  From the funds appropriated in this act or from other COVID-19 related appropriations, MUSC shall coordinate with DHEC and partner with local healthcare providers to ensure that gaps in statewide vaccination delivery are covered, with priority given to rural and underserved areas. </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56C7">
        <w:rPr>
          <w:rFonts w:eastAsia="Calibri"/>
          <w:u w:color="000000"/>
        </w:rPr>
        <w:tab/>
        <w:t>(B)</w:t>
      </w:r>
      <w:r w:rsidRPr="005B56C7">
        <w:rPr>
          <w:rFonts w:eastAsia="Calibri"/>
          <w:u w:color="000000"/>
        </w:rPr>
        <w:tab/>
        <w:t>DHEC shall allocate vaccines so that they are distributed in a manner that ensures that each of its four public health regions shall receive a per</w:t>
      </w:r>
      <w:r w:rsidRPr="005B56C7">
        <w:rPr>
          <w:rFonts w:eastAsia="Calibri"/>
          <w:u w:color="000000"/>
        </w:rPr>
        <w:noBreakHyphen/>
        <w:t>capita allocation, as described in subsection (A).  In making allocations to specific vaccine providers, DHEC shall consider the recommendations of its COVID</w:t>
      </w:r>
      <w:r w:rsidRPr="005B56C7">
        <w:rPr>
          <w:rFonts w:eastAsia="Calibri"/>
          <w:u w:color="000000"/>
        </w:rPr>
        <w:noBreakHyphen/>
        <w:t>19 Vaccine Regional Advisory Panels, one of which shall be established in each of the four public health regions as follows:</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56C7">
        <w:rPr>
          <w:rFonts w:eastAsia="Calibri"/>
          <w:u w:color="000000"/>
        </w:rPr>
        <w:tab/>
        <w:t>(1)</w:t>
      </w:r>
      <w:r w:rsidRPr="005B56C7">
        <w:rPr>
          <w:rFonts w:eastAsia="Calibri"/>
          <w:u w:color="000000"/>
        </w:rPr>
        <w:tab/>
        <w:t>Each panel shall meet weekly initally, but this frequency may be reduced with DHEC’s consent.</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56C7">
        <w:rPr>
          <w:rFonts w:eastAsia="Calibri"/>
          <w:u w:color="000000"/>
        </w:rPr>
        <w:tab/>
        <w:t>(2)</w:t>
      </w:r>
      <w:r w:rsidRPr="005B56C7">
        <w:rPr>
          <w:rFonts w:eastAsia="Calibri"/>
          <w:u w:color="000000"/>
        </w:rPr>
        <w:tab/>
        <w:t>At its first meeting, each panel shall select a Chairman from among its members, who shall preside over the panel’s meetings.  This Chairman must have extensive healthcare experience within the panel’s designated region.  In the event of a future vacancy, the Chair shall be filled in this same manner.</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56C7">
        <w:rPr>
          <w:rFonts w:eastAsia="Calibri"/>
          <w:u w:color="000000"/>
        </w:rPr>
        <w:tab/>
        <w:t>(3)</w:t>
      </w:r>
      <w:r w:rsidRPr="005B56C7">
        <w:rPr>
          <w:rFonts w:eastAsia="Calibri"/>
          <w:u w:color="000000"/>
        </w:rPr>
        <w:tab/>
        <w:t>Each panel must include representation from affected stakeholders and vaccine providers within the region, including but not limited to hospitals, primary care practices, pharmacies, rural health clinics, and the South Carolina Primary Care Association and any other Federally Qualified Health Centers.</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56C7">
        <w:rPr>
          <w:rFonts w:eastAsia="Calibri"/>
          <w:u w:color="000000"/>
        </w:rPr>
        <w:tab/>
        <w:t>(4)</w:t>
      </w:r>
      <w:r w:rsidRPr="005B56C7">
        <w:rPr>
          <w:rFonts w:eastAsia="Calibri"/>
          <w:u w:color="000000"/>
        </w:rPr>
        <w:tab/>
        <w:t>Based upon the region’s vaccine allocation provided by the department, the panel shall adopt a specific recommendation for allocating vaccines to individual providers and review the plan at subsequent meetings.  This recommendation must be transmitted to the department immediately upon initial adoption and upon subsequent revision and must be based upon the following priorities:</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56C7">
        <w:rPr>
          <w:rFonts w:eastAsia="Calibri"/>
          <w:u w:color="000000"/>
        </w:rPr>
        <w:tab/>
      </w:r>
      <w:r w:rsidRPr="005B56C7">
        <w:rPr>
          <w:rFonts w:eastAsia="Calibri"/>
          <w:u w:color="000000"/>
        </w:rPr>
        <w:tab/>
        <w:t>(a)</w:t>
      </w:r>
      <w:r w:rsidRPr="005B56C7">
        <w:rPr>
          <w:rFonts w:eastAsia="Calibri"/>
          <w:u w:color="000000"/>
        </w:rPr>
        <w:tab/>
        <w:t>Rural and underserved communities must have equitable access to receive the COVID</w:t>
      </w:r>
      <w:r w:rsidRPr="005B56C7">
        <w:rPr>
          <w:rFonts w:eastAsia="Calibri"/>
          <w:u w:color="000000"/>
        </w:rPr>
        <w:noBreakHyphen/>
        <w:t>19 vaccine;</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56C7">
        <w:rPr>
          <w:rFonts w:eastAsia="Calibri"/>
          <w:u w:color="000000"/>
        </w:rPr>
        <w:lastRenderedPageBreak/>
        <w:tab/>
      </w:r>
      <w:r w:rsidRPr="005B56C7">
        <w:rPr>
          <w:rFonts w:eastAsia="Calibri"/>
          <w:u w:color="000000"/>
        </w:rPr>
        <w:tab/>
        <w:t>(b)</w:t>
      </w:r>
      <w:r w:rsidRPr="005B56C7">
        <w:rPr>
          <w:rFonts w:eastAsia="Calibri"/>
          <w:u w:color="000000"/>
        </w:rPr>
        <w:tab/>
        <w:t>Available vaccines must be administered to South Carolinians as rapidly as possible, to ensure that no doses are permitted to expire, and to position South Carolina favorably in the event that any future federal allocations to states may be based in part upon a state’s ability to expeditiously administer the vaccine;</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56C7">
        <w:rPr>
          <w:rFonts w:eastAsia="Calibri"/>
          <w:u w:color="000000"/>
        </w:rPr>
        <w:tab/>
      </w:r>
      <w:r w:rsidRPr="005B56C7">
        <w:rPr>
          <w:rFonts w:eastAsia="Calibri"/>
          <w:u w:color="000000"/>
        </w:rPr>
        <w:tab/>
        <w:t>(c)</w:t>
      </w:r>
      <w:r w:rsidRPr="005B56C7">
        <w:rPr>
          <w:rFonts w:eastAsia="Calibri"/>
          <w:u w:color="000000"/>
        </w:rPr>
        <w:tab/>
        <w:t>Each panel must consider which providers are best equipped to handle specific manufacturers’ forms of the vaccine, such as those requiring ultra</w:t>
      </w:r>
      <w:r w:rsidRPr="005B56C7">
        <w:rPr>
          <w:rFonts w:eastAsia="Calibri"/>
          <w:u w:color="000000"/>
        </w:rPr>
        <w:noBreakHyphen/>
        <w:t>cold storage; and</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56C7">
        <w:rPr>
          <w:rFonts w:eastAsia="Calibri"/>
          <w:u w:color="000000"/>
        </w:rPr>
        <w:tab/>
      </w:r>
      <w:r w:rsidRPr="005B56C7">
        <w:rPr>
          <w:rFonts w:eastAsia="Calibri"/>
          <w:u w:color="000000"/>
        </w:rPr>
        <w:tab/>
        <w:t>(d)</w:t>
      </w:r>
      <w:r w:rsidRPr="005B56C7">
        <w:rPr>
          <w:rFonts w:eastAsia="Calibri"/>
          <w:u w:color="000000"/>
        </w:rPr>
        <w:tab/>
        <w:t>Panels’ recommendations must be informed by their review of the most current and comprehensive data available as to how vaccines have already been administered within their regions, including how the vaccination rate varies by geography, race, age, income, or other relevant factors.</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56C7">
        <w:rPr>
          <w:rFonts w:eastAsia="Calibri"/>
          <w:u w:color="000000"/>
        </w:rPr>
        <w:tab/>
        <w:t>(C)</w:t>
      </w:r>
      <w:r w:rsidRPr="005B56C7">
        <w:rPr>
          <w:rFonts w:eastAsia="Calibri"/>
          <w:u w:color="000000"/>
        </w:rPr>
        <w:tab/>
        <w:t>Notwithstanding any other provision of this joint resolution, DHEC may retain up to five percent of each weekly dose allocation in inventory to maximize its ability to quickly and efficiently respond to changes in need throughout the week.</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tab/>
      </w:r>
      <w:r w:rsidRPr="005B56C7">
        <w:t>B.</w:t>
      </w:r>
      <w:r w:rsidRPr="005B56C7">
        <w:tab/>
      </w:r>
      <w:r w:rsidRPr="005B56C7">
        <w:rPr>
          <w:rFonts w:eastAsia="Calibri"/>
          <w:u w:color="000000"/>
        </w:rPr>
        <w:t>This SECTION terminates and is no longer effective when the Director of the Department of Health and Environmental Control determines that the demands for the vaccine no longer exceed the supply of the vaccine.</w:t>
      </w:r>
      <w:r w:rsidRPr="005B56C7">
        <w:rPr>
          <w:rFonts w:eastAsia="Calibri"/>
          <w:u w:color="000000"/>
        </w:rPr>
        <w:tab/>
      </w:r>
      <w:r w:rsidRPr="005B56C7">
        <w:rPr>
          <w:rFonts w:eastAsia="Calibri"/>
          <w:u w:color="000000"/>
        </w:rPr>
        <w:tab/>
        <w:t>/</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56C7">
        <w:rPr>
          <w:snapToGrid w:val="0"/>
        </w:rPr>
        <w:tab/>
        <w:t>Renumber sections to conform.</w:t>
      </w:r>
    </w:p>
    <w:p w:rsidR="0086444F"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56C7">
        <w:rPr>
          <w:snapToGrid w:val="0"/>
        </w:rPr>
        <w:tab/>
        <w:t>Amend title to conform.</w:t>
      </w:r>
    </w:p>
    <w:p w:rsidR="0086444F" w:rsidRPr="005B56C7"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6444F"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86444F"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444F"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0295" w:rsidSect="004202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0074" w:rsidRDefault="000300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0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118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1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MAKE APPROPRIATIONS FOR THE STATE’S PUBLIC HEALTH RESPONSE TO THE COVID-19 VIRUS, INCLUDING VACCINATIONS.</w:t>
      </w:r>
      <w:bookmarkEnd w:id="1"/>
    </w:p>
    <w:p w:rsidR="0086444F" w:rsidRDefault="008644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3159" w:rsidRDefault="007D434D"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1C441E">
        <w:rPr>
          <w:color w:val="000000" w:themeColor="text1"/>
          <w:sz w:val="22"/>
          <w:u w:color="000000" w:themeColor="text1"/>
        </w:rPr>
        <w:t>Whereas, the COVID</w:t>
      </w:r>
      <w:r w:rsidR="00674A83">
        <w:rPr>
          <w:color w:val="000000" w:themeColor="text1"/>
          <w:sz w:val="22"/>
          <w:u w:color="000000" w:themeColor="text1"/>
        </w:rPr>
        <w:t>-</w:t>
      </w:r>
      <w:r w:rsidRPr="001C441E">
        <w:rPr>
          <w:color w:val="000000" w:themeColor="text1"/>
          <w:sz w:val="22"/>
          <w:u w:color="000000" w:themeColor="text1"/>
        </w:rPr>
        <w:t>19 virus has caused untold damage on South Carolina’s citizens and its economy, particularly in rural and underserved areas, and vaccinating South Carolinians is of the utmost importance to returning the State and its citizens to their everyday lives; and</w:t>
      </w:r>
    </w:p>
    <w:p w:rsidR="004B3159" w:rsidRPr="006419CB"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p>
    <w:p w:rsidR="004B3159"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6419CB">
        <w:rPr>
          <w:color w:val="000000" w:themeColor="text1"/>
          <w:sz w:val="22"/>
          <w:szCs w:val="22"/>
          <w:u w:color="000000" w:themeColor="text1"/>
        </w:rPr>
        <w:t>Whereas, there are now multiple versions of a highly effective vaccin</w:t>
      </w:r>
      <w:r w:rsidR="00BC7F57">
        <w:rPr>
          <w:color w:val="000000" w:themeColor="text1"/>
          <w:sz w:val="22"/>
          <w:szCs w:val="22"/>
          <w:u w:color="000000" w:themeColor="text1"/>
        </w:rPr>
        <w:t>e</w:t>
      </w:r>
      <w:r w:rsidRPr="006419CB">
        <w:rPr>
          <w:color w:val="000000" w:themeColor="text1"/>
          <w:sz w:val="22"/>
          <w:szCs w:val="22"/>
          <w:u w:color="000000" w:themeColor="text1"/>
        </w:rPr>
        <w:t xml:space="preserve"> available to combat COVID</w:t>
      </w:r>
      <w:r w:rsidR="00674A83">
        <w:rPr>
          <w:color w:val="000000" w:themeColor="text1"/>
          <w:sz w:val="22"/>
          <w:szCs w:val="22"/>
          <w:u w:color="000000" w:themeColor="text1"/>
        </w:rPr>
        <w:t>-</w:t>
      </w:r>
      <w:r w:rsidRPr="006419CB">
        <w:rPr>
          <w:color w:val="000000" w:themeColor="text1"/>
          <w:sz w:val="22"/>
          <w:szCs w:val="22"/>
          <w:u w:color="000000" w:themeColor="text1"/>
        </w:rPr>
        <w:t>19; and</w:t>
      </w:r>
    </w:p>
    <w:p w:rsidR="004B3159"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p>
    <w:p w:rsidR="004B3159" w:rsidRPr="006419CB"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r w:rsidRPr="006419CB">
        <w:rPr>
          <w:color w:val="000000" w:themeColor="text1"/>
          <w:sz w:val="22"/>
          <w:szCs w:val="22"/>
          <w:u w:color="000000" w:themeColor="text1"/>
        </w:rPr>
        <w:t xml:space="preserve">Whereas, the </w:t>
      </w:r>
      <w:r w:rsidR="00674A83" w:rsidRPr="006419CB">
        <w:rPr>
          <w:color w:val="000000" w:themeColor="text1"/>
          <w:sz w:val="22"/>
          <w:szCs w:val="22"/>
          <w:u w:color="000000" w:themeColor="text1"/>
        </w:rPr>
        <w:t xml:space="preserve">State </w:t>
      </w:r>
      <w:r w:rsidRPr="006419CB">
        <w:rPr>
          <w:color w:val="000000" w:themeColor="text1"/>
          <w:sz w:val="22"/>
          <w:szCs w:val="22"/>
          <w:u w:color="000000" w:themeColor="text1"/>
        </w:rPr>
        <w:t>must endeavor to assist with the development and success of the vaccine delivery infrastructure that will help South Carolina make full use of its federal allocation of vaccines and maximize the number of inoculations delivered. Now, therefore,</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1.</w:t>
      </w:r>
      <w:r w:rsidRPr="00B83B1D">
        <w:rPr>
          <w:color w:val="000000" w:themeColor="text1"/>
          <w:u w:color="000000" w:themeColor="text1"/>
        </w:rPr>
        <w:tab/>
        <w:t>(A)</w:t>
      </w:r>
      <w:r w:rsidRPr="00B83B1D">
        <w:rPr>
          <w:color w:val="000000" w:themeColor="text1"/>
          <w:u w:color="000000" w:themeColor="text1"/>
        </w:rPr>
        <w:tab/>
        <w:t>From the Contingency Reserve Fund, there is appropriated:</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(1)</w:t>
      </w:r>
      <w:r w:rsidRPr="00B83B1D">
        <w:rPr>
          <w:color w:val="000000" w:themeColor="text1"/>
          <w:u w:color="000000" w:themeColor="text1"/>
        </w:rPr>
        <w:tab/>
        <w:t>$63,000,000 to the Department of Health and Environmental Control (DHEC); and</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(2)</w:t>
      </w:r>
      <w:r w:rsidRPr="00B83B1D">
        <w:rPr>
          <w:color w:val="000000" w:themeColor="text1"/>
          <w:u w:color="000000" w:themeColor="text1"/>
        </w:rPr>
        <w:tab/>
        <w:t>$45,000,000 to the Medical Universi</w:t>
      </w:r>
      <w:r>
        <w:rPr>
          <w:color w:val="000000" w:themeColor="text1"/>
          <w:u w:color="000000" w:themeColor="text1"/>
        </w:rPr>
        <w:t>ty of South Carolina (MUSC).</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(B)</w:t>
      </w:r>
      <w:r w:rsidRPr="00B83B1D">
        <w:rPr>
          <w:color w:val="000000" w:themeColor="text1"/>
          <w:u w:color="000000" w:themeColor="text1"/>
        </w:rPr>
        <w:tab/>
        <w:t>From the funds appropriated in this section, DHEC and MUSC shall</w:t>
      </w:r>
      <w:r>
        <w:rPr>
          <w:color w:val="000000" w:themeColor="text1"/>
          <w:u w:color="000000" w:themeColor="text1"/>
        </w:rPr>
        <w:t xml:space="preserve">, in consultation, cooperation, and collaboration </w:t>
      </w:r>
      <w:r w:rsidRPr="00B83B1D">
        <w:rPr>
          <w:color w:val="000000" w:themeColor="text1"/>
          <w:u w:color="000000" w:themeColor="text1"/>
        </w:rPr>
        <w:t xml:space="preserve">with the South Carolina Hospital Association, </w:t>
      </w:r>
      <w:r w:rsidR="0006746F">
        <w:rPr>
          <w:color w:val="000000" w:themeColor="text1"/>
          <w:u w:color="000000" w:themeColor="text1"/>
        </w:rPr>
        <w:t xml:space="preserve">the South Carolina Primary Care Association and any other </w:t>
      </w:r>
      <w:r w:rsidRPr="00B83B1D">
        <w:rPr>
          <w:color w:val="000000" w:themeColor="text1"/>
          <w:u w:color="000000" w:themeColor="text1"/>
        </w:rPr>
        <w:t>Federally Qualified Heath Centers, and other approp</w:t>
      </w:r>
      <w:r>
        <w:rPr>
          <w:color w:val="000000" w:themeColor="text1"/>
          <w:u w:color="000000" w:themeColor="text1"/>
        </w:rPr>
        <w:t xml:space="preserve">riate entities and associations: (1) expand </w:t>
      </w:r>
      <w:r>
        <w:rPr>
          <w:color w:val="000000" w:themeColor="text1"/>
          <w:u w:color="000000" w:themeColor="text1"/>
        </w:rPr>
        <w:lastRenderedPageBreak/>
        <w:t>statewide vaccination capacity; and (2)</w:t>
      </w:r>
      <w:r w:rsidRPr="00B83B1D">
        <w:rPr>
          <w:color w:val="000000" w:themeColor="text1"/>
          <w:u w:color="000000" w:themeColor="text1"/>
        </w:rPr>
        <w:t xml:space="preserve"> continue to administer the statewide COVID</w:t>
      </w:r>
      <w:r w:rsidRPr="00B83B1D">
        <w:rPr>
          <w:color w:val="000000" w:themeColor="text1"/>
          <w:u w:color="000000" w:themeColor="text1"/>
        </w:rPr>
        <w:noBreakHyphen/>
      </w:r>
      <w:r>
        <w:rPr>
          <w:color w:val="000000" w:themeColor="text1"/>
          <w:u w:color="000000" w:themeColor="text1"/>
        </w:rPr>
        <w:t>19 testing plan</w:t>
      </w:r>
      <w:r w:rsidRPr="00B83B1D">
        <w:rPr>
          <w:color w:val="000000" w:themeColor="text1"/>
          <w:u w:color="000000" w:themeColor="text1"/>
        </w:rPr>
        <w:t>.</w:t>
      </w:r>
      <w:r>
        <w:rPr>
          <w:color w:val="000000" w:themeColor="text1"/>
          <w:u w:color="000000" w:themeColor="text1"/>
        </w:rPr>
        <w:t xml:space="preserve">  Such funds must be used in a manner that most effectively and efficiently uses the resources available for vaccinations from hospitals and other COVID-19 vaccination providers, enrolled and activated by DHEC, across the </w:t>
      </w:r>
      <w:r w:rsidR="00674A83">
        <w:rPr>
          <w:color w:val="000000" w:themeColor="text1"/>
          <w:u w:color="000000" w:themeColor="text1"/>
        </w:rPr>
        <w:t>State</w:t>
      </w:r>
      <w:r>
        <w:rPr>
          <w:color w:val="000000" w:themeColor="text1"/>
          <w:u w:color="000000" w:themeColor="text1"/>
        </w:rPr>
        <w:t xml:space="preserve">.  </w:t>
      </w:r>
      <w:r w:rsidRPr="00B83B1D">
        <w:rPr>
          <w:color w:val="000000" w:themeColor="text1"/>
          <w:u w:color="000000" w:themeColor="text1"/>
        </w:rPr>
        <w:t>The use of these funds includes costs related to COVID</w:t>
      </w:r>
      <w:r w:rsidRPr="00B83B1D">
        <w:rPr>
          <w:color w:val="000000" w:themeColor="text1"/>
          <w:u w:color="000000" w:themeColor="text1"/>
        </w:rPr>
        <w:noBreakHyphen/>
        <w:t xml:space="preserve">19, but are not limited to, vaccination, continued testing and contact tracing, personal protective equipment and medical supplies, personnel costs, education and marketing campaigns, quarantine, transportation and storage, </w:t>
      </w:r>
      <w:r>
        <w:rPr>
          <w:color w:val="000000" w:themeColor="text1"/>
          <w:u w:color="000000" w:themeColor="text1"/>
        </w:rPr>
        <w:t xml:space="preserve">mobile health units including the purchase, upfitting, staffing, and operations thereof, </w:t>
      </w:r>
      <w:r w:rsidRPr="00B83B1D">
        <w:rPr>
          <w:color w:val="000000" w:themeColor="text1"/>
          <w:u w:color="000000" w:themeColor="text1"/>
        </w:rPr>
        <w:t>general operations, technology, and staff support.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(C)</w:t>
      </w:r>
      <w:r w:rsidRPr="00B83B1D">
        <w:rPr>
          <w:color w:val="000000" w:themeColor="text1"/>
          <w:u w:color="000000" w:themeColor="text1"/>
        </w:rPr>
        <w:tab/>
        <w:t>The funds expended for statewide vaccinations must be used expeditiously to contract with entities set forth in this item that are administering COVID</w:t>
      </w:r>
      <w:r w:rsidRPr="00B83B1D">
        <w:rPr>
          <w:color w:val="000000" w:themeColor="text1"/>
          <w:u w:color="000000" w:themeColor="text1"/>
        </w:rPr>
        <w:noBreakHyphen/>
        <w:t xml:space="preserve">19 vaccines to the public. Eligible costs </w:t>
      </w:r>
      <w:r>
        <w:rPr>
          <w:color w:val="000000" w:themeColor="text1"/>
          <w:u w:color="000000" w:themeColor="text1"/>
        </w:rPr>
        <w:t>i</w:t>
      </w:r>
      <w:r w:rsidRPr="00B83B1D">
        <w:rPr>
          <w:color w:val="000000" w:themeColor="text1"/>
          <w:u w:color="000000" w:themeColor="text1"/>
        </w:rPr>
        <w:t>nclude</w:t>
      </w:r>
      <w:r>
        <w:rPr>
          <w:color w:val="000000" w:themeColor="text1"/>
          <w:u w:color="000000" w:themeColor="text1"/>
        </w:rPr>
        <w:t>,</w:t>
      </w:r>
      <w:r w:rsidRPr="00B83B1D">
        <w:rPr>
          <w:color w:val="000000" w:themeColor="text1"/>
          <w:u w:color="000000" w:themeColor="text1"/>
        </w:rPr>
        <w:t xml:space="preserve"> but are not limited to</w:t>
      </w:r>
      <w:r>
        <w:rPr>
          <w:color w:val="000000" w:themeColor="text1"/>
          <w:u w:color="000000" w:themeColor="text1"/>
        </w:rPr>
        <w:t>,</w:t>
      </w:r>
      <w:r w:rsidRPr="00B83B1D">
        <w:rPr>
          <w:color w:val="000000" w:themeColor="text1"/>
          <w:u w:color="000000" w:themeColor="text1"/>
        </w:rPr>
        <w:t xml:space="preserve"> those vaccination costs associated with staffing, security, traffic control, storage, transportation,</w:t>
      </w:r>
      <w:r>
        <w:rPr>
          <w:color w:val="000000" w:themeColor="text1"/>
          <w:u w:color="000000" w:themeColor="text1"/>
        </w:rPr>
        <w:t xml:space="preserve"> mobile health units including the purchase, upfitting, staffing, and operations thereof,</w:t>
      </w:r>
      <w:r w:rsidRPr="00B83B1D">
        <w:rPr>
          <w:color w:val="000000" w:themeColor="text1"/>
          <w:u w:color="000000" w:themeColor="text1"/>
        </w:rPr>
        <w:t xml:space="preserve"> and technology that have not been reimbursed by an insurer’s administration fee.</w:t>
      </w:r>
    </w:p>
    <w:p w:rsidR="009134A8"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(D)</w:t>
      </w:r>
      <w:r w:rsidRPr="00B83B1D">
        <w:rPr>
          <w:color w:val="000000" w:themeColor="text1"/>
          <w:u w:color="000000" w:themeColor="text1"/>
        </w:rPr>
        <w:tab/>
        <w:t xml:space="preserve">Additionally, from the funds appropriated in this section, DHEC, in coordination with MUSC, the South Carolina Hospital Association, the South Carolina Center for Rural and Primary Healthcare, and other relevant stakeholders, shall implement a plan to reach rural and underserved populations who are eligible to be vaccinated. </w:t>
      </w:r>
    </w:p>
    <w:p w:rsidR="004B3159" w:rsidRPr="00B83B1D" w:rsidRDefault="009134A8"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szCs w:val="18"/>
          <w:shd w:val="clear" w:color="auto" w:fill="FFFFFF"/>
        </w:rPr>
        <w:tab/>
      </w:r>
      <w:r w:rsidR="00B12927">
        <w:rPr>
          <w:rFonts w:eastAsia="Calibri"/>
          <w:szCs w:val="18"/>
          <w:shd w:val="clear" w:color="auto" w:fill="FFFFFF"/>
        </w:rPr>
        <w:tab/>
      </w:r>
      <w:r>
        <w:rPr>
          <w:rFonts w:eastAsia="Calibri"/>
          <w:szCs w:val="18"/>
          <w:shd w:val="clear" w:color="auto" w:fill="FFFFFF"/>
        </w:rPr>
        <w:t>(E)</w:t>
      </w:r>
      <w:r w:rsidRPr="009134A8">
        <w:rPr>
          <w:rFonts w:eastAsia="Calibri"/>
          <w:szCs w:val="18"/>
          <w:shd w:val="clear" w:color="auto" w:fill="FFFFFF"/>
        </w:rPr>
        <w:tab/>
        <w:t xml:space="preserve">The funds appropriated in this section may be utilized to support the monitoring of positive COVID-19 cases, which may include contact tracing. However, participation by individuals in the contact-tracing program shall be solely on a voluntary basis. The Department of Health and Environmental Control and any individual conducting contact-tracing collection are prohibited from using any applications created for such purpose on a cellular device. Any contact-tracing technologies utilized for data collection must be restricted for the collection of public health information only and must be carried and maintained in a decentralized manner. Access to any information collected will be used for public health information purposes only and will comply with all confidentiality requirements contained in the Health Insurance Portability and Accountability Act. Contact tracers must be properly trained and certified by the Department of Health and Environmental Control. The department shall conduct a public awareness campaign to </w:t>
      </w:r>
      <w:r w:rsidRPr="009134A8">
        <w:rPr>
          <w:rFonts w:eastAsia="Calibri"/>
          <w:szCs w:val="18"/>
          <w:shd w:val="clear" w:color="auto" w:fill="FFFFFF"/>
        </w:rPr>
        <w:lastRenderedPageBreak/>
        <w:t>explain the use of contact tracing and that individuals may decline to participate.</w:t>
      </w:r>
      <w:r w:rsidR="004B3159" w:rsidRPr="00B83B1D">
        <w:rPr>
          <w:color w:val="000000" w:themeColor="text1"/>
          <w:u w:color="000000" w:themeColor="text1"/>
        </w:rPr>
        <w:t xml:space="preserve">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2.</w:t>
      </w:r>
      <w:r w:rsidRPr="00B83B1D">
        <w:rPr>
          <w:color w:val="000000" w:themeColor="text1"/>
          <w:u w:color="000000" w:themeColor="text1"/>
        </w:rPr>
        <w:tab/>
        <w:t>(A)</w:t>
      </w:r>
      <w:r w:rsidRPr="00B83B1D">
        <w:rPr>
          <w:color w:val="000000" w:themeColor="text1"/>
          <w:u w:color="000000" w:themeColor="text1"/>
        </w:rPr>
        <w:tab/>
        <w:t>The Executive Budget Office shall establish the COVID</w:t>
      </w:r>
      <w:r w:rsidRPr="00B83B1D">
        <w:rPr>
          <w:color w:val="000000" w:themeColor="text1"/>
          <w:u w:color="000000" w:themeColor="text1"/>
        </w:rPr>
        <w:noBreakHyphen/>
        <w:t xml:space="preserve">19 Vaccine Reserve account to be maintained by the Executive Budget Office and administered as set forth in this section.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00BF0764" w:rsidRPr="00E10C52">
        <w:rPr>
          <w:color w:val="000000" w:themeColor="text1"/>
          <w:u w:color="000000" w:themeColor="text1"/>
        </w:rPr>
        <w:t>(B)</w:t>
      </w:r>
      <w:r w:rsidR="00BF0764" w:rsidRPr="00E10C52">
        <w:rPr>
          <w:color w:val="000000" w:themeColor="text1"/>
          <w:u w:color="000000" w:themeColor="text1"/>
        </w:rPr>
        <w:tab/>
        <w:t>From the Contingency Reserve Fund, there is appropriated $100,000,000 to the COVID</w:t>
      </w:r>
      <w:r w:rsidR="00BF0764" w:rsidRPr="00E10C52">
        <w:rPr>
          <w:color w:val="000000" w:themeColor="text1"/>
          <w:u w:color="000000" w:themeColor="text1"/>
        </w:rPr>
        <w:noBreakHyphen/>
        <w:t>19 Vaccine Reserve account. The Executive Budget Office only may release funds in the account upon receipt of a letter signed by the Director of DHEC.  DHEC shall allocate funds to eligible COVID</w:t>
      </w:r>
      <w:r w:rsidR="00BF0764" w:rsidRPr="00E10C52">
        <w:rPr>
          <w:color w:val="000000" w:themeColor="text1"/>
          <w:u w:color="000000" w:themeColor="text1"/>
        </w:rPr>
        <w:noBreakHyphen/>
        <w:t>19 vaccine providers in support of statewide vaccination efforts.  DHEC shall reimburse eligible providers only after affirming the recipient is a COVID</w:t>
      </w:r>
      <w:r w:rsidR="00BF0764" w:rsidRPr="00E10C52">
        <w:rPr>
          <w:color w:val="000000" w:themeColor="text1"/>
          <w:u w:color="000000" w:themeColor="text1"/>
        </w:rPr>
        <w:noBreakHyphen/>
        <w:t>19 vaccination provider enrolled and activated by DHEC, that DHEC has determined that the request will assist the State in its effort to achieve statewide vaccination, and that the enrolled and activated provider has the vaccine implementation c</w:t>
      </w:r>
      <w:r w:rsidR="00BF0764">
        <w:rPr>
          <w:color w:val="000000" w:themeColor="text1"/>
          <w:u w:color="000000" w:themeColor="text1"/>
        </w:rPr>
        <w:t>apacity to justify the request.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(C)(1)</w:t>
      </w:r>
      <w:r w:rsidRPr="00B83B1D">
        <w:rPr>
          <w:color w:val="000000" w:themeColor="text1"/>
          <w:u w:color="000000" w:themeColor="text1"/>
        </w:rPr>
        <w:tab/>
        <w:t>From the funds appropriated in this section, the Executive Budget Office shall allocate</w:t>
      </w:r>
      <w:r>
        <w:rPr>
          <w:color w:val="000000" w:themeColor="text1"/>
          <w:u w:color="000000" w:themeColor="text1"/>
        </w:rPr>
        <w:t xml:space="preserve"> up to</w:t>
      </w:r>
      <w:r w:rsidRPr="00B83B1D">
        <w:rPr>
          <w:color w:val="000000" w:themeColor="text1"/>
          <w:u w:color="000000" w:themeColor="text1"/>
        </w:rPr>
        <w:t xml:space="preserve"> $75,000,000 to hospitals to pay for the costs of administering the COVID</w:t>
      </w:r>
      <w:r w:rsidRPr="00B83B1D">
        <w:rPr>
          <w:color w:val="000000" w:themeColor="text1"/>
          <w:u w:color="000000" w:themeColor="text1"/>
        </w:rPr>
        <w:noBreakHyphen/>
        <w:t>19 vaccine.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(2)</w:t>
      </w:r>
      <w:r w:rsidRPr="00B83B1D">
        <w:rPr>
          <w:color w:val="000000" w:themeColor="text1"/>
          <w:u w:color="000000" w:themeColor="text1"/>
        </w:rPr>
        <w:tab/>
        <w:t xml:space="preserve">From the funds appropriated in this section, the Executive Budget Office shall allocate </w:t>
      </w:r>
      <w:r>
        <w:rPr>
          <w:color w:val="000000" w:themeColor="text1"/>
          <w:u w:color="000000" w:themeColor="text1"/>
        </w:rPr>
        <w:t xml:space="preserve">up to </w:t>
      </w:r>
      <w:r w:rsidRPr="00B83B1D">
        <w:rPr>
          <w:color w:val="000000" w:themeColor="text1"/>
          <w:u w:color="000000" w:themeColor="text1"/>
        </w:rPr>
        <w:t xml:space="preserve">$25,000,000 to other </w:t>
      </w:r>
      <w:r>
        <w:rPr>
          <w:color w:val="000000" w:themeColor="text1"/>
          <w:u w:color="000000" w:themeColor="text1"/>
        </w:rPr>
        <w:t xml:space="preserve">COVID-19 </w:t>
      </w:r>
      <w:r w:rsidRPr="00B83B1D">
        <w:rPr>
          <w:color w:val="000000" w:themeColor="text1"/>
          <w:u w:color="000000" w:themeColor="text1"/>
        </w:rPr>
        <w:t>vaccination providers</w:t>
      </w:r>
      <w:r>
        <w:rPr>
          <w:color w:val="000000" w:themeColor="text1"/>
          <w:u w:color="000000" w:themeColor="text1"/>
        </w:rPr>
        <w:t xml:space="preserve"> that are</w:t>
      </w:r>
      <w:r w:rsidRPr="00B83B1D">
        <w:rPr>
          <w:color w:val="000000" w:themeColor="text1"/>
          <w:u w:color="000000" w:themeColor="text1"/>
        </w:rPr>
        <w:t xml:space="preserve"> enrolled and activated by DHEC</w:t>
      </w:r>
      <w:r>
        <w:rPr>
          <w:color w:val="000000" w:themeColor="text1"/>
          <w:u w:color="000000" w:themeColor="text1"/>
        </w:rPr>
        <w:t>,</w:t>
      </w:r>
      <w:r w:rsidRPr="00B83B1D">
        <w:rPr>
          <w:color w:val="000000" w:themeColor="text1"/>
          <w:u w:color="000000" w:themeColor="text1"/>
        </w:rPr>
        <w:t xml:space="preserve"> to pay for the costs of administering the COVID</w:t>
      </w:r>
      <w:r w:rsidRPr="00B83B1D">
        <w:rPr>
          <w:color w:val="000000" w:themeColor="text1"/>
          <w:u w:color="000000" w:themeColor="text1"/>
        </w:rPr>
        <w:noBreakHyphen/>
        <w:t>19 vaccine.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(3)</w:t>
      </w:r>
      <w:r w:rsidRPr="00B83B1D">
        <w:rPr>
          <w:color w:val="000000" w:themeColor="text1"/>
          <w:u w:color="000000" w:themeColor="text1"/>
        </w:rPr>
        <w:tab/>
        <w:t>For purposes of this section, eligible costs of administering the COVID</w:t>
      </w:r>
      <w:r w:rsidRPr="00B83B1D">
        <w:rPr>
          <w:color w:val="000000" w:themeColor="text1"/>
          <w:u w:color="000000" w:themeColor="text1"/>
        </w:rPr>
        <w:noBreakHyphen/>
        <w:t>19 vaccine include</w:t>
      </w:r>
      <w:r>
        <w:rPr>
          <w:color w:val="000000" w:themeColor="text1"/>
          <w:u w:color="000000" w:themeColor="text1"/>
        </w:rPr>
        <w:t>,</w:t>
      </w:r>
      <w:r w:rsidRPr="00B83B1D">
        <w:rPr>
          <w:color w:val="000000" w:themeColor="text1"/>
          <w:u w:color="000000" w:themeColor="text1"/>
        </w:rPr>
        <w:t xml:space="preserve"> but are not limited to</w:t>
      </w:r>
      <w:r>
        <w:rPr>
          <w:color w:val="000000" w:themeColor="text1"/>
          <w:u w:color="000000" w:themeColor="text1"/>
        </w:rPr>
        <w:t>,</w:t>
      </w:r>
      <w:r w:rsidRPr="00B83B1D">
        <w:rPr>
          <w:color w:val="000000" w:themeColor="text1"/>
          <w:u w:color="000000" w:themeColor="text1"/>
        </w:rPr>
        <w:t xml:space="preserve"> those vaccination costs associated with staffing, security, traffic control, storage, transportation, </w:t>
      </w:r>
      <w:r>
        <w:rPr>
          <w:color w:val="000000" w:themeColor="text1"/>
          <w:u w:color="000000" w:themeColor="text1"/>
        </w:rPr>
        <w:t xml:space="preserve">mobile health units including the purchase, upfitting, staffing, and operations thereof, </w:t>
      </w:r>
      <w:r w:rsidRPr="00B83B1D">
        <w:rPr>
          <w:color w:val="000000" w:themeColor="text1"/>
          <w:u w:color="000000" w:themeColor="text1"/>
        </w:rPr>
        <w:t>and technology that have not been reimbursed by an insurer’s administration fee.</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(D)</w:t>
      </w:r>
      <w:r w:rsidRPr="00B83B1D">
        <w:rPr>
          <w:color w:val="000000" w:themeColor="text1"/>
          <w:u w:color="000000" w:themeColor="text1"/>
        </w:rPr>
        <w:tab/>
        <w:t>In approving expenses, DHEC must give priority to hospitals and other</w:t>
      </w:r>
      <w:r>
        <w:rPr>
          <w:color w:val="000000" w:themeColor="text1"/>
          <w:u w:color="000000" w:themeColor="text1"/>
        </w:rPr>
        <w:t xml:space="preserve"> COVID-19 vaccine </w:t>
      </w:r>
      <w:r w:rsidRPr="00B83B1D">
        <w:rPr>
          <w:color w:val="000000" w:themeColor="text1"/>
          <w:u w:color="000000" w:themeColor="text1"/>
        </w:rPr>
        <w:t>providers</w:t>
      </w:r>
      <w:r>
        <w:rPr>
          <w:color w:val="000000" w:themeColor="text1"/>
          <w:u w:color="000000" w:themeColor="text1"/>
        </w:rPr>
        <w:t xml:space="preserve"> that are enrolled and activated by DHEC</w:t>
      </w:r>
      <w:r w:rsidRPr="00B83B1D">
        <w:rPr>
          <w:color w:val="000000" w:themeColor="text1"/>
          <w:u w:color="000000" w:themeColor="text1"/>
        </w:rPr>
        <w:t xml:space="preserve"> that can prove or have proven a high demand for the vaccine and the ability to administer the vaccine in high quantities.</w:t>
      </w:r>
    </w:p>
    <w:p w:rsidR="007D434D" w:rsidRPr="00B83B1D" w:rsidRDefault="007D434D"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201B84">
        <w:rPr>
          <w:color w:val="000000" w:themeColor="text1"/>
          <w:u w:color="000000" w:themeColor="text1"/>
        </w:rPr>
        <w:t>)</w:t>
      </w:r>
      <w:r w:rsidRPr="00201B84">
        <w:rPr>
          <w:color w:val="000000" w:themeColor="text1"/>
          <w:u w:color="000000" w:themeColor="text1"/>
        </w:rPr>
        <w:tab/>
        <w:t>Notwithstanding any other provision of this section, the Director of DHEC may not authorize the Executive Budget Office to release any funds from the COVID</w:t>
      </w:r>
      <w:r w:rsidRPr="00201B84">
        <w:rPr>
          <w:color w:val="000000" w:themeColor="text1"/>
          <w:u w:color="000000" w:themeColor="text1"/>
        </w:rPr>
        <w:noBreakHyphen/>
        <w:t>19 Vaccine Reserve account to any hospital that is not offering vaccine appointments to the general public</w:t>
      </w:r>
      <w:r w:rsidR="005E316D">
        <w:rPr>
          <w:color w:val="000000" w:themeColor="text1"/>
          <w:u w:color="000000" w:themeColor="text1"/>
        </w:rPr>
        <w:t>.</w:t>
      </w:r>
    </w:p>
    <w:p w:rsidR="004B3159" w:rsidRPr="00B83B1D" w:rsidRDefault="007D434D"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(F</w:t>
      </w:r>
      <w:r w:rsidR="004B3159" w:rsidRPr="00B83B1D">
        <w:rPr>
          <w:color w:val="000000" w:themeColor="text1"/>
          <w:u w:color="000000" w:themeColor="text1"/>
        </w:rPr>
        <w:t>)</w:t>
      </w:r>
      <w:r w:rsidR="004B3159" w:rsidRPr="00B83B1D">
        <w:rPr>
          <w:color w:val="000000" w:themeColor="text1"/>
          <w:u w:color="000000" w:themeColor="text1"/>
        </w:rPr>
        <w:tab/>
        <w:t xml:space="preserve">On the first day of each month, the Executive Budget Office shall provide a detailed accounting of the expenditure of all funds appropriated pursuant to this section. The report shall be transmitted to the Governor, the General Assembly, and made available on the website of the recipient. Additionally, any recipient must provide </w:t>
      </w:r>
      <w:r w:rsidR="004B3159">
        <w:rPr>
          <w:color w:val="000000" w:themeColor="text1"/>
          <w:u w:color="000000" w:themeColor="text1"/>
        </w:rPr>
        <w:t>a</w:t>
      </w:r>
      <w:r w:rsidR="004B3159" w:rsidRPr="00B83B1D">
        <w:rPr>
          <w:color w:val="000000" w:themeColor="text1"/>
          <w:u w:color="000000" w:themeColor="text1"/>
        </w:rPr>
        <w:t>n accounting of the expenditures to DHEC and DHEC must post the accounting on its website.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3.</w:t>
      </w:r>
      <w:r w:rsidRPr="00B83B1D">
        <w:rPr>
          <w:color w:val="000000" w:themeColor="text1"/>
          <w:u w:color="000000" w:themeColor="text1"/>
        </w:rPr>
        <w:tab/>
        <w:t>(A)</w:t>
      </w:r>
      <w:r>
        <w:rPr>
          <w:color w:val="000000" w:themeColor="text1"/>
          <w:u w:color="000000" w:themeColor="text1"/>
        </w:rPr>
        <w:t>(1)</w:t>
      </w:r>
      <w:r w:rsidRPr="00B83B1D">
        <w:rPr>
          <w:color w:val="000000" w:themeColor="text1"/>
          <w:u w:color="000000" w:themeColor="text1"/>
        </w:rPr>
        <w:tab/>
        <w:t>Where appropriate and feasible, hospitals, medical providers, and other stakeholders receiving distributions pursuant to this joint resolution also shall seek reimbursement from an individual’s public or private health insurer.</w:t>
      </w:r>
      <w:r>
        <w:rPr>
          <w:color w:val="000000" w:themeColor="text1"/>
          <w:u w:color="000000" w:themeColor="text1"/>
        </w:rPr>
        <w:t xml:space="preserve">  </w:t>
      </w:r>
    </w:p>
    <w:p w:rsidR="004B3159" w:rsidRDefault="00BF0764"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0C52">
        <w:rPr>
          <w:color w:val="000000" w:themeColor="text1"/>
          <w:u w:color="000000" w:themeColor="text1"/>
        </w:rPr>
        <w:t>(B)</w:t>
      </w:r>
      <w:r w:rsidRPr="00E10C52">
        <w:rPr>
          <w:color w:val="000000" w:themeColor="text1"/>
          <w:u w:color="000000" w:themeColor="text1"/>
        </w:rPr>
        <w:tab/>
        <w:t>To maximize the benefit of all funds received by the State, DHEC and MUSC shall work with the Department of Administration to assure that available federal funds are utilized for the purposes of this joint resolution appropriately and minimize the use of state funds where possible.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(C) If </w:t>
      </w:r>
      <w:r w:rsidRPr="00B83B1D">
        <w:rPr>
          <w:color w:val="000000" w:themeColor="text1"/>
          <w:u w:color="000000" w:themeColor="text1"/>
        </w:rPr>
        <w:t xml:space="preserve">hospitals, medical providers, </w:t>
      </w:r>
      <w:r>
        <w:rPr>
          <w:color w:val="000000" w:themeColor="text1"/>
          <w:u w:color="000000" w:themeColor="text1"/>
        </w:rPr>
        <w:t>and other stakeholders receive</w:t>
      </w:r>
      <w:r w:rsidRPr="00B83B1D">
        <w:rPr>
          <w:color w:val="000000" w:themeColor="text1"/>
          <w:u w:color="000000" w:themeColor="text1"/>
        </w:rPr>
        <w:t xml:space="preserve"> distributions pursuant to this joint resolution</w:t>
      </w:r>
      <w:r>
        <w:rPr>
          <w:color w:val="000000" w:themeColor="text1"/>
          <w:u w:color="000000" w:themeColor="text1"/>
        </w:rPr>
        <w:t xml:space="preserve"> for their efforts in meeting the objectives of this joint resolution, also receive reimbursements from insurers or federal funds for the same purposes, then the distributions pursuant to this joint resolution must be remitted back to the agency or fund that distributed the funds up to the amount of reimbursed costs and federal funds received.</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B83B1D">
        <w:rPr>
          <w:color w:val="000000" w:themeColor="text1"/>
          <w:u w:color="000000" w:themeColor="text1"/>
        </w:rPr>
        <w:t>)</w:t>
      </w:r>
      <w:r w:rsidRPr="00B83B1D">
        <w:rPr>
          <w:color w:val="000000" w:themeColor="text1"/>
          <w:u w:color="000000" w:themeColor="text1"/>
        </w:rPr>
        <w:tab/>
        <w:t xml:space="preserve">The provisions of this joint resolution shall apply to the extent permitted by federal law.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4.</w:t>
      </w:r>
      <w:r w:rsidRPr="00B83B1D">
        <w:rPr>
          <w:color w:val="000000" w:themeColor="text1"/>
          <w:u w:color="000000" w:themeColor="text1"/>
        </w:rPr>
        <w:tab/>
        <w:t>A.</w:t>
      </w:r>
      <w:r w:rsidRPr="00B83B1D">
        <w:rPr>
          <w:color w:val="000000" w:themeColor="text1"/>
          <w:u w:color="000000" w:themeColor="text1"/>
        </w:rPr>
        <w:tab/>
      </w:r>
      <w:r w:rsidRPr="00B83B1D">
        <w:rPr>
          <w:color w:val="000000" w:themeColor="text1"/>
          <w:u w:color="000000" w:themeColor="text1"/>
        </w:rPr>
        <w:tab/>
        <w:t>Notwithstanding any professional scope of practice or unauthorized practice of law provision in this State, the following individuals have the authority to administer premeasured doses of the COVID</w:t>
      </w:r>
      <w:r w:rsidRPr="00B83B1D">
        <w:rPr>
          <w:color w:val="000000" w:themeColor="text1"/>
          <w:u w:color="000000" w:themeColor="text1"/>
        </w:rPr>
        <w:noBreakHyphen/>
        <w:t>19 vaccine: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(1)</w:t>
      </w:r>
      <w:r w:rsidRPr="00B83B1D">
        <w:rPr>
          <w:color w:val="000000" w:themeColor="text1"/>
          <w:u w:color="000000" w:themeColor="text1"/>
        </w:rPr>
        <w:tab/>
      </w:r>
      <w:r>
        <w:rPr>
          <w:color w:val="000000" w:themeColor="text1"/>
          <w:u w:color="000000" w:themeColor="text1"/>
        </w:rPr>
        <w:t>u</w:t>
      </w:r>
      <w:r w:rsidRPr="00B83B1D">
        <w:rPr>
          <w:color w:val="000000" w:themeColor="text1"/>
          <w:u w:color="000000" w:themeColor="text1"/>
        </w:rPr>
        <w:t xml:space="preserve">nlicensed personnel with current certification by the certifying boards of the American Association of Medical Assistants (AAMA), the National Center for Competency Testing (NCCT), National Association for Health Professionals (NAHP), the National Certification Medical Association (NCMA), National Healthcare Association (NHA), American Medical Technologists (AMT), or any other certifying body approved by the South Carolina Board of Medical Examiners, and documented training in intermuscular injections; and who administer the vaccine at </w:t>
      </w:r>
      <w:r>
        <w:rPr>
          <w:color w:val="000000" w:themeColor="text1"/>
          <w:u w:color="000000" w:themeColor="text1"/>
        </w:rPr>
        <w:t xml:space="preserve">a </w:t>
      </w:r>
      <w:r w:rsidRPr="00B83B1D">
        <w:rPr>
          <w:color w:val="000000" w:themeColor="text1"/>
          <w:u w:color="000000" w:themeColor="text1"/>
        </w:rPr>
        <w:t xml:space="preserve">site in which a Physician, Physician Assistant, Advanced Practice Registered Nurse, and/or a Registered Nurse licensed in good standing in South Carolina and capable of appropriate evaluation and response to </w:t>
      </w:r>
      <w:r w:rsidRPr="00B83B1D">
        <w:rPr>
          <w:color w:val="000000" w:themeColor="text1"/>
          <w:u w:color="000000" w:themeColor="text1"/>
        </w:rPr>
        <w:lastRenderedPageBreak/>
        <w:t xml:space="preserve">medical emergencies, including resuscitation and treatment </w:t>
      </w:r>
      <w:r>
        <w:rPr>
          <w:color w:val="000000" w:themeColor="text1"/>
          <w:u w:color="000000" w:themeColor="text1"/>
        </w:rPr>
        <w:t>of anaphylaxis, is present;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(2)</w:t>
      </w:r>
      <w:r w:rsidRPr="00B83B1D">
        <w:rPr>
          <w:color w:val="000000" w:themeColor="text1"/>
          <w:u w:color="000000" w:themeColor="text1"/>
        </w:rPr>
        <w:tab/>
      </w:r>
      <w:r>
        <w:rPr>
          <w:color w:val="000000" w:themeColor="text1"/>
          <w:u w:color="000000" w:themeColor="text1"/>
        </w:rPr>
        <w:t>s</w:t>
      </w:r>
      <w:r w:rsidRPr="00B83B1D">
        <w:rPr>
          <w:color w:val="000000" w:themeColor="text1"/>
          <w:u w:color="000000" w:themeColor="text1"/>
        </w:rPr>
        <w:t xml:space="preserve">tudents of an accredited medical school, physician assistant school or program, or a nursing school or program with appropriate instruction and documented training in intramuscular injections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(3)</w:t>
      </w:r>
      <w:r w:rsidRPr="00B83B1D">
        <w:rPr>
          <w:color w:val="000000" w:themeColor="text1"/>
          <w:u w:color="000000" w:themeColor="text1"/>
        </w:rPr>
        <w:tab/>
      </w:r>
      <w:r>
        <w:rPr>
          <w:color w:val="000000" w:themeColor="text1"/>
          <w:u w:color="000000" w:themeColor="text1"/>
        </w:rPr>
        <w:t>R</w:t>
      </w:r>
      <w:r w:rsidRPr="00B83B1D">
        <w:rPr>
          <w:color w:val="000000" w:themeColor="text1"/>
          <w:u w:color="000000" w:themeColor="text1"/>
        </w:rPr>
        <w:t>egistered Nurses and Licensed Practical Nurses who have retired, become inactive, or whose licenses have lapsed within the last five years, provided their licenses were in good standing at the</w:t>
      </w:r>
      <w:r>
        <w:rPr>
          <w:color w:val="000000" w:themeColor="text1"/>
          <w:u w:color="000000" w:themeColor="text1"/>
        </w:rPr>
        <w:t xml:space="preserve"> time of</w:t>
      </w:r>
      <w:r w:rsidRPr="00B83B1D">
        <w:rPr>
          <w:color w:val="000000" w:themeColor="text1"/>
          <w:u w:color="000000" w:themeColor="text1"/>
        </w:rPr>
        <w:t xml:space="preserve"> retirement/inactivation/lapse; and who submit the appropriate documentation to the Board of Nursing to confirm licensure within the last five years and that such license was in good standing at the time of retirement/inactivation/lapse;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(4)</w:t>
      </w:r>
      <w:r w:rsidRPr="00B83B1D">
        <w:rPr>
          <w:color w:val="000000" w:themeColor="text1"/>
          <w:u w:color="000000" w:themeColor="text1"/>
        </w:rPr>
        <w:tab/>
        <w:t>Physicians and Physician Assistants who have retired, become inactive, or whose licenses have lapsed within the last five years, provided their licenses were in good standing at th</w:t>
      </w:r>
      <w:r>
        <w:rPr>
          <w:color w:val="000000" w:themeColor="text1"/>
          <w:u w:color="000000" w:themeColor="text1"/>
        </w:rPr>
        <w:t xml:space="preserve">e time of </w:t>
      </w:r>
      <w:r w:rsidRPr="00B83B1D">
        <w:rPr>
          <w:color w:val="000000" w:themeColor="text1"/>
          <w:u w:color="000000" w:themeColor="text1"/>
        </w:rPr>
        <w:t xml:space="preserve">retirement/inactivation/lapse; and who submit the appropriate documentation to the Board of Medical Examiners to confirm licensure within the last five years and that such license was in good standing at the time of retirement/inactivation/lapse;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w:t>
      </w:r>
      <w:r w:rsidR="00BF0764">
        <w:rPr>
          <w:color w:val="000000" w:themeColor="text1"/>
          <w:u w:color="000000" w:themeColor="text1"/>
        </w:rPr>
        <w:t>of anaphylaxis, is present;</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(5)</w:t>
      </w:r>
      <w:r w:rsidRPr="00B83B1D">
        <w:rPr>
          <w:color w:val="000000" w:themeColor="text1"/>
          <w:u w:color="000000" w:themeColor="text1"/>
        </w:rPr>
        <w:tab/>
      </w:r>
      <w:r w:rsidR="00F11C59">
        <w:rPr>
          <w:color w:val="000000" w:themeColor="text1"/>
          <w:u w:color="000000" w:themeColor="text1"/>
        </w:rPr>
        <w:t>D</w:t>
      </w:r>
      <w:r w:rsidRPr="00B83B1D">
        <w:rPr>
          <w:color w:val="000000" w:themeColor="text1"/>
          <w:u w:color="000000" w:themeColor="text1"/>
        </w:rPr>
        <w:t>entists licensed in good standing by the South Carolina State Board of Dentistry who have successfully completed the following COVID</w:t>
      </w:r>
      <w:r w:rsidRPr="00B83B1D">
        <w:rPr>
          <w:color w:val="000000" w:themeColor="text1"/>
          <w:u w:color="000000" w:themeColor="text1"/>
        </w:rPr>
        <w:noBreakHyphen/>
        <w:t>19 training programs available through the Centers for Disease Control and Prevention:</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a</w:t>
      </w:r>
      <w:r w:rsidRPr="00B83B1D">
        <w:rPr>
          <w:color w:val="000000" w:themeColor="text1"/>
          <w:u w:color="000000" w:themeColor="text1"/>
        </w:rPr>
        <w:t>)</w:t>
      </w:r>
      <w:r>
        <w:rPr>
          <w:color w:val="000000" w:themeColor="text1"/>
          <w:u w:color="000000" w:themeColor="text1"/>
        </w:rPr>
        <w:tab/>
      </w:r>
      <w:r w:rsidR="00C8639C">
        <w:rPr>
          <w:color w:val="000000" w:themeColor="text1"/>
          <w:u w:color="000000" w:themeColor="text1"/>
        </w:rPr>
        <w:t>“</w:t>
      </w:r>
      <w:r w:rsidRPr="00B83B1D">
        <w:rPr>
          <w:color w:val="000000" w:themeColor="text1"/>
          <w:u w:color="000000" w:themeColor="text1"/>
        </w:rPr>
        <w:t>COVID</w:t>
      </w:r>
      <w:r w:rsidRPr="00B83B1D">
        <w:rPr>
          <w:color w:val="000000" w:themeColor="text1"/>
          <w:u w:color="000000" w:themeColor="text1"/>
        </w:rPr>
        <w:noBreakHyphen/>
        <w:t>19 Vaccine Training; General Overview of Immunization Best Pra</w:t>
      </w:r>
      <w:r w:rsidR="00674A83">
        <w:rPr>
          <w:color w:val="000000" w:themeColor="text1"/>
          <w:u w:color="000000" w:themeColor="text1"/>
        </w:rPr>
        <w:t>ctices for Healthcare Providers</w:t>
      </w:r>
      <w:r w:rsidR="00C8639C">
        <w:rPr>
          <w:color w:val="000000" w:themeColor="text1"/>
          <w:u w:color="000000" w:themeColor="text1"/>
        </w:rPr>
        <w:t>”</w:t>
      </w:r>
      <w:r w:rsidRPr="00B83B1D">
        <w:rPr>
          <w:color w:val="000000" w:themeColor="text1"/>
          <w:u w:color="000000" w:themeColor="text1"/>
        </w:rPr>
        <w:t>;</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b</w:t>
      </w:r>
      <w:r w:rsidRPr="00B83B1D">
        <w:rPr>
          <w:color w:val="000000" w:themeColor="text1"/>
          <w:u w:color="000000" w:themeColor="text1"/>
        </w:rPr>
        <w:t>)</w:t>
      </w:r>
      <w:r>
        <w:rPr>
          <w:color w:val="000000" w:themeColor="text1"/>
          <w:u w:color="000000" w:themeColor="text1"/>
        </w:rPr>
        <w:tab/>
      </w:r>
      <w:r w:rsidRPr="00B83B1D">
        <w:rPr>
          <w:color w:val="000000" w:themeColor="text1"/>
          <w:u w:color="000000" w:themeColor="text1"/>
        </w:rPr>
        <w:t>“What Every Clinician Should Know about COVID</w:t>
      </w:r>
      <w:r w:rsidRPr="00B83B1D">
        <w:rPr>
          <w:color w:val="000000" w:themeColor="text1"/>
          <w:u w:color="000000" w:themeColor="text1"/>
        </w:rPr>
        <w:noBreakHyphen/>
        <w:t>19 Vaccines Safety”;</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c</w:t>
      </w:r>
      <w:r w:rsidRPr="00B83B1D">
        <w:rPr>
          <w:color w:val="000000" w:themeColor="text1"/>
          <w:u w:color="000000" w:themeColor="text1"/>
        </w:rPr>
        <w:t>)</w:t>
      </w:r>
      <w:r>
        <w:rPr>
          <w:color w:val="000000" w:themeColor="text1"/>
          <w:u w:color="000000" w:themeColor="text1"/>
        </w:rPr>
        <w:tab/>
      </w:r>
      <w:r w:rsidRPr="00B83B1D">
        <w:rPr>
          <w:color w:val="000000" w:themeColor="text1"/>
          <w:u w:color="000000" w:themeColor="text1"/>
        </w:rPr>
        <w:t>“What Clinicians Need to Know About the Pfizer</w:t>
      </w:r>
      <w:r w:rsidRPr="00B83B1D">
        <w:rPr>
          <w:color w:val="000000" w:themeColor="text1"/>
          <w:u w:color="000000" w:themeColor="text1"/>
        </w:rPr>
        <w:noBreakHyphen/>
        <w:t>Bio</w:t>
      </w:r>
      <w:r w:rsidR="00674A83">
        <w:rPr>
          <w:color w:val="000000" w:themeColor="text1"/>
          <w:u w:color="000000" w:themeColor="text1"/>
        </w:rPr>
        <w:t>N</w:t>
      </w:r>
      <w:r w:rsidRPr="00B83B1D">
        <w:rPr>
          <w:color w:val="000000" w:themeColor="text1"/>
          <w:u w:color="000000" w:themeColor="text1"/>
        </w:rPr>
        <w:t>Tech and Moderna COVID</w:t>
      </w:r>
      <w:r w:rsidRPr="00B83B1D">
        <w:rPr>
          <w:color w:val="000000" w:themeColor="text1"/>
          <w:u w:color="000000" w:themeColor="text1"/>
        </w:rPr>
        <w:noBreakHyphen/>
        <w:t>19 Vaccines”; and</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d</w:t>
      </w:r>
      <w:r w:rsidRPr="00B83B1D">
        <w:rPr>
          <w:color w:val="000000" w:themeColor="text1"/>
          <w:u w:color="000000" w:themeColor="text1"/>
        </w:rPr>
        <w:t>)</w:t>
      </w:r>
      <w:r>
        <w:rPr>
          <w:color w:val="000000" w:themeColor="text1"/>
          <w:u w:color="000000" w:themeColor="text1"/>
        </w:rPr>
        <w:tab/>
      </w:r>
      <w:r w:rsidRPr="00B83B1D">
        <w:rPr>
          <w:color w:val="000000" w:themeColor="text1"/>
          <w:u w:color="000000" w:themeColor="text1"/>
        </w:rPr>
        <w:t>“Pfizer</w:t>
      </w:r>
      <w:r w:rsidRPr="00B83B1D">
        <w:rPr>
          <w:color w:val="000000" w:themeColor="text1"/>
          <w:u w:color="000000" w:themeColor="text1"/>
        </w:rPr>
        <w:noBreakHyphen/>
        <w:t>BioNTech COVID</w:t>
      </w:r>
      <w:r w:rsidRPr="00B83B1D">
        <w:rPr>
          <w:color w:val="000000" w:themeColor="text1"/>
          <w:u w:color="000000" w:themeColor="text1"/>
        </w:rPr>
        <w:noBreakHyphen/>
        <w:t>19 Vaccine: What Healthcare Professionals Need to Know</w:t>
      </w:r>
      <w:r w:rsidR="00BF0764">
        <w:rPr>
          <w:color w:val="000000" w:themeColor="text1"/>
          <w:u w:color="000000" w:themeColor="text1"/>
        </w:rPr>
        <w:t>”</w:t>
      </w:r>
      <w:r w:rsidRPr="00B83B1D">
        <w:rPr>
          <w:color w:val="000000" w:themeColor="text1"/>
          <w:u w:color="000000" w:themeColor="text1"/>
        </w:rPr>
        <w:t>; and who administer the vaccine at a site dedicated to the administration of the COVID</w:t>
      </w:r>
      <w:r w:rsidRPr="00B83B1D">
        <w:rPr>
          <w:color w:val="000000" w:themeColor="text1"/>
          <w:u w:color="000000" w:themeColor="text1"/>
        </w:rPr>
        <w:noBreakHyphen/>
        <w:t xml:space="preserve">19 vaccine, which does not include the office in which the dentist typically practices dentistry, in which a Physician, Physician Assistant, Advanced Practice Registered Nurse, and/or a Registered 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r w:rsidR="00BF0764">
        <w:rPr>
          <w:color w:val="000000" w:themeColor="text1"/>
          <w:u w:color="000000" w:themeColor="text1"/>
        </w:rPr>
        <w:t>; and</w:t>
      </w:r>
    </w:p>
    <w:p w:rsidR="00BF0764" w:rsidRPr="00832EDB"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F11C59">
        <w:rPr>
          <w:color w:val="000000" w:themeColor="text1"/>
          <w:u w:color="000000" w:themeColor="text1"/>
        </w:rPr>
        <w:t>)</w:t>
      </w:r>
      <w:r w:rsidR="00F11C59">
        <w:rPr>
          <w:color w:val="000000" w:themeColor="text1"/>
          <w:u w:color="000000" w:themeColor="text1"/>
        </w:rPr>
        <w:tab/>
        <w:t>O</w:t>
      </w:r>
      <w:r w:rsidRPr="00832EDB">
        <w:rPr>
          <w:color w:val="000000" w:themeColor="text1"/>
          <w:u w:color="000000" w:themeColor="text1"/>
        </w:rPr>
        <w:t>ptometrists licensed in good standing by the South Carolina Board of Examiners in Optometry who have successfully completed the following COVID</w:t>
      </w:r>
      <w:r w:rsidRPr="00832EDB">
        <w:rPr>
          <w:color w:val="000000" w:themeColor="text1"/>
          <w:u w:color="000000" w:themeColor="text1"/>
        </w:rPr>
        <w:noBreakHyphen/>
        <w:t>19 training programs available through the Centers for Disease Control and Prevention:</w:t>
      </w:r>
    </w:p>
    <w:p w:rsidR="00BF0764" w:rsidRPr="00832EDB"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DB">
        <w:rPr>
          <w:color w:val="000000" w:themeColor="text1"/>
          <w:u w:color="000000" w:themeColor="text1"/>
        </w:rPr>
        <w:tab/>
      </w:r>
      <w:r w:rsidRPr="00832EDB">
        <w:rPr>
          <w:color w:val="000000" w:themeColor="text1"/>
          <w:u w:color="000000" w:themeColor="text1"/>
        </w:rPr>
        <w:tab/>
      </w:r>
      <w:r w:rsidR="007D434D">
        <w:rPr>
          <w:color w:val="000000" w:themeColor="text1"/>
          <w:u w:color="000000" w:themeColor="text1"/>
        </w:rPr>
        <w:tab/>
        <w:t>(a</w:t>
      </w:r>
      <w:r w:rsidRPr="00832EDB">
        <w:rPr>
          <w:color w:val="000000" w:themeColor="text1"/>
          <w:u w:color="000000" w:themeColor="text1"/>
        </w:rPr>
        <w:t>)</w:t>
      </w:r>
      <w:r w:rsidRPr="00832EDB">
        <w:rPr>
          <w:color w:val="000000" w:themeColor="text1"/>
          <w:u w:color="000000" w:themeColor="text1"/>
        </w:rPr>
        <w:tab/>
        <w:t>“COVID</w:t>
      </w:r>
      <w:r w:rsidRPr="00832EDB">
        <w:rPr>
          <w:color w:val="000000" w:themeColor="text1"/>
          <w:u w:color="000000" w:themeColor="text1"/>
        </w:rPr>
        <w:noBreakHyphen/>
        <w:t>19 Vaccine Training; General Overview of Immunization Best Practices for Healthcare Providers”;</w:t>
      </w:r>
    </w:p>
    <w:p w:rsidR="00F11C59" w:rsidRDefault="007D434D"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BF0764" w:rsidRPr="00832EDB">
        <w:rPr>
          <w:color w:val="000000" w:themeColor="text1"/>
          <w:u w:color="000000" w:themeColor="text1"/>
        </w:rPr>
        <w:t>)</w:t>
      </w:r>
      <w:r w:rsidR="00BF0764" w:rsidRPr="00832EDB">
        <w:rPr>
          <w:color w:val="000000" w:themeColor="text1"/>
          <w:u w:color="000000" w:themeColor="text1"/>
        </w:rPr>
        <w:tab/>
        <w:t>“What Every Clinician Should Know about COVID</w:t>
      </w:r>
      <w:r w:rsidR="00BF0764" w:rsidRPr="00832EDB">
        <w:rPr>
          <w:color w:val="000000" w:themeColor="text1"/>
          <w:u w:color="000000" w:themeColor="text1"/>
        </w:rPr>
        <w:noBreakHyphen/>
        <w:t>19 Vaccines Safety”;</w:t>
      </w:r>
    </w:p>
    <w:p w:rsidR="00BF0764" w:rsidRPr="00832EDB" w:rsidRDefault="007D434D"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00BF0764" w:rsidRPr="00832EDB">
        <w:rPr>
          <w:color w:val="000000" w:themeColor="text1"/>
          <w:u w:color="000000" w:themeColor="text1"/>
        </w:rPr>
        <w:t>)</w:t>
      </w:r>
      <w:r w:rsidR="00BF0764" w:rsidRPr="00832EDB">
        <w:rPr>
          <w:color w:val="000000" w:themeColor="text1"/>
          <w:u w:color="000000" w:themeColor="text1"/>
        </w:rPr>
        <w:tab/>
        <w:t>“What Clinicians Need to Know About the Pfizer</w:t>
      </w:r>
      <w:r w:rsidR="00BF0764" w:rsidRPr="00832EDB">
        <w:rPr>
          <w:color w:val="000000" w:themeColor="text1"/>
          <w:u w:color="000000" w:themeColor="text1"/>
        </w:rPr>
        <w:noBreakHyphen/>
        <w:t>Bio</w:t>
      </w:r>
      <w:r w:rsidR="00674A83">
        <w:rPr>
          <w:color w:val="000000" w:themeColor="text1"/>
          <w:u w:color="000000" w:themeColor="text1"/>
        </w:rPr>
        <w:t>N</w:t>
      </w:r>
      <w:r w:rsidR="00BF0764" w:rsidRPr="00832EDB">
        <w:rPr>
          <w:color w:val="000000" w:themeColor="text1"/>
          <w:u w:color="000000" w:themeColor="text1"/>
        </w:rPr>
        <w:t>Tech and Moderna COVID</w:t>
      </w:r>
      <w:r w:rsidR="00BF0764" w:rsidRPr="00832EDB">
        <w:rPr>
          <w:color w:val="000000" w:themeColor="text1"/>
          <w:u w:color="000000" w:themeColor="text1"/>
        </w:rPr>
        <w:noBreakHyphen/>
        <w:t>19 Vaccines”; and</w:t>
      </w:r>
    </w:p>
    <w:p w:rsidR="00BF0764" w:rsidRPr="00B83B1D"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DB">
        <w:rPr>
          <w:color w:val="000000" w:themeColor="text1"/>
          <w:u w:color="000000" w:themeColor="text1"/>
        </w:rPr>
        <w:tab/>
      </w:r>
      <w:r w:rsidRPr="00832EDB">
        <w:rPr>
          <w:color w:val="000000" w:themeColor="text1"/>
          <w:u w:color="000000" w:themeColor="text1"/>
        </w:rPr>
        <w:tab/>
      </w:r>
      <w:r w:rsidR="007D434D">
        <w:rPr>
          <w:color w:val="000000" w:themeColor="text1"/>
          <w:u w:color="000000" w:themeColor="text1"/>
        </w:rPr>
        <w:tab/>
        <w:t>(d</w:t>
      </w:r>
      <w:r w:rsidRPr="00832EDB">
        <w:rPr>
          <w:color w:val="000000" w:themeColor="text1"/>
          <w:u w:color="000000" w:themeColor="text1"/>
        </w:rPr>
        <w:t>)</w:t>
      </w:r>
      <w:r w:rsidRPr="00832EDB">
        <w:rPr>
          <w:color w:val="000000" w:themeColor="text1"/>
          <w:u w:color="000000" w:themeColor="text1"/>
        </w:rPr>
        <w:tab/>
        <w:t>“Pfizer</w:t>
      </w:r>
      <w:r w:rsidRPr="00832EDB">
        <w:rPr>
          <w:color w:val="000000" w:themeColor="text1"/>
          <w:u w:color="000000" w:themeColor="text1"/>
        </w:rPr>
        <w:noBreakHyphen/>
        <w:t>BioNTech COVID</w:t>
      </w:r>
      <w:r w:rsidRPr="00832EDB">
        <w:rPr>
          <w:color w:val="000000" w:themeColor="text1"/>
          <w:u w:color="000000" w:themeColor="text1"/>
        </w:rPr>
        <w:noBreakHyphen/>
        <w:t>19 Vaccine: What Healthcare Professionals Need to Know”; and who administer the vaccine at a site dedicated to the administration of the COVID</w:t>
      </w:r>
      <w:r w:rsidRPr="00832EDB">
        <w:rPr>
          <w:color w:val="000000" w:themeColor="text1"/>
          <w:u w:color="000000" w:themeColor="text1"/>
        </w:rPr>
        <w:noBreakHyphen/>
        <w:t>19 vaccine, which does not include the office in which the optometrist typically practices optometry,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r w:rsidRPr="00832EDB">
        <w:rPr>
          <w:color w:val="000000" w:themeColor="text1"/>
          <w:u w:color="000000" w:themeColor="text1"/>
        </w:rPr>
        <w:tab/>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(B)</w:t>
      </w:r>
      <w:r w:rsidRPr="00B83B1D">
        <w:rPr>
          <w:color w:val="000000" w:themeColor="text1"/>
          <w:u w:color="000000" w:themeColor="text1"/>
        </w:rPr>
        <w:tab/>
        <w:t>Notwithstanding any professional scope of practice or unauthorized practice provision in this State, South Carolina</w:t>
      </w:r>
      <w:r w:rsidRPr="00B83B1D">
        <w:rPr>
          <w:color w:val="000000" w:themeColor="text1"/>
          <w:u w:color="000000" w:themeColor="text1"/>
        </w:rPr>
        <w:noBreakHyphen/>
        <w:t>licensed Advanced Practice Registered Nurses, Physician Assistants, and Registered Nurses in good standing may delegate COVID</w:t>
      </w:r>
      <w:r w:rsidRPr="00B83B1D">
        <w:rPr>
          <w:color w:val="000000" w:themeColor="text1"/>
          <w:u w:color="000000" w:themeColor="text1"/>
        </w:rPr>
        <w:noBreakHyphen/>
        <w:t xml:space="preserve">19 vaccine dose administration to any individual authorized by South Carolina law to administer vaccines or identified in this </w:t>
      </w:r>
      <w:r>
        <w:rPr>
          <w:color w:val="000000" w:themeColor="text1"/>
          <w:u w:color="000000" w:themeColor="text1"/>
        </w:rPr>
        <w:t xml:space="preserve">section </w:t>
      </w:r>
      <w:r w:rsidRPr="00B83B1D">
        <w:rPr>
          <w:color w:val="000000" w:themeColor="text1"/>
          <w:u w:color="000000" w:themeColor="text1"/>
        </w:rPr>
        <w:t>as authorized to administer COVID</w:t>
      </w:r>
      <w:r w:rsidRPr="00B83B1D">
        <w:rPr>
          <w:color w:val="000000" w:themeColor="text1"/>
          <w:u w:color="000000" w:themeColor="text1"/>
        </w:rPr>
        <w:noBreakHyphen/>
        <w:t>19 vaccine</w:t>
      </w:r>
      <w:r w:rsidR="00674A83">
        <w:rPr>
          <w:color w:val="000000" w:themeColor="text1"/>
          <w:u w:color="000000" w:themeColor="text1"/>
        </w:rPr>
        <w:t>s</w:t>
      </w:r>
      <w:r w:rsidRPr="00B83B1D">
        <w:rPr>
          <w:color w:val="000000" w:themeColor="text1"/>
          <w:u w:color="000000" w:themeColor="text1"/>
        </w:rPr>
        <w:t xml:space="preserve">.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B.</w:t>
      </w:r>
      <w:r w:rsidRPr="00B83B1D">
        <w:rPr>
          <w:color w:val="000000" w:themeColor="text1"/>
          <w:u w:color="000000" w:themeColor="text1"/>
        </w:rPr>
        <w:tab/>
      </w:r>
      <w:r>
        <w:rPr>
          <w:color w:val="000000" w:themeColor="text1"/>
          <w:u w:color="000000" w:themeColor="text1"/>
        </w:rPr>
        <w:t>This section</w:t>
      </w:r>
      <w:r w:rsidRPr="00B83B1D">
        <w:rPr>
          <w:color w:val="000000" w:themeColor="text1"/>
          <w:u w:color="000000" w:themeColor="text1"/>
        </w:rPr>
        <w:t xml:space="preserve"> terminates and is no longer effective when South Carolina is no longer under a declared public health emergency concerning COVID</w:t>
      </w:r>
      <w:r w:rsidRPr="00B83B1D">
        <w:rPr>
          <w:color w:val="000000" w:themeColor="text1"/>
          <w:u w:color="000000" w:themeColor="text1"/>
        </w:rPr>
        <w:noBreakHyphen/>
        <w:t>19.</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lastRenderedPageBreak/>
        <w:t>SECTION</w:t>
      </w:r>
      <w:r>
        <w:tab/>
        <w:t>5</w:t>
      </w:r>
      <w:r w:rsidRPr="00B7104F">
        <w:t>.</w:t>
      </w:r>
      <w:r w:rsidRPr="00B7104F">
        <w:tab/>
        <w:t>A.</w:t>
      </w:r>
      <w:r>
        <w:t xml:space="preserve"> </w:t>
      </w:r>
      <w:r w:rsidRPr="00B7104F">
        <w:t>(A)</w:t>
      </w:r>
      <w:r w:rsidRPr="00B7104F">
        <w:tab/>
        <w:t xml:space="preserve">All vaccines received by the state as of the effective date of this joint resolution which have not already been set for distribution, and all vaccines received by the state after the effective date of this joint resolution, must be </w:t>
      </w:r>
      <w:r w:rsidRPr="00B7104F">
        <w:rPr>
          <w:rFonts w:eastAsia="Calibri"/>
          <w:szCs w:val="22"/>
          <w:u w:color="000000"/>
        </w:rPr>
        <w:t>allocated to the four DHEC public health regions in a per</w:t>
      </w:r>
      <w:r w:rsidRPr="00B7104F">
        <w:rPr>
          <w:rFonts w:eastAsia="Calibri"/>
          <w:szCs w:val="22"/>
          <w:u w:color="000000"/>
        </w:rPr>
        <w:noBreakHyphen/>
        <w:t>capita manner with considerations taken into account for factors, including but not limited to poverty level, infection rates, age, and high</w:t>
      </w:r>
      <w:r w:rsidRPr="00B7104F">
        <w:rPr>
          <w:rFonts w:eastAsia="Calibri"/>
          <w:szCs w:val="22"/>
          <w:u w:color="000000"/>
        </w:rPr>
        <w:noBreakHyphen/>
        <w:t xml:space="preserve">risk populations.  From the funds appropriated in this act or from other COVID-19 related appropriations, MUSC shall coordinate with DHEC and partner with local healthcare providers to ensure that gaps in statewide vaccination delivery are covered, with priority given to rural and underserved areas. </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(B)</w:t>
      </w:r>
      <w:r w:rsidRPr="00B7104F">
        <w:rPr>
          <w:rFonts w:eastAsia="Calibri"/>
          <w:szCs w:val="22"/>
          <w:u w:color="000000"/>
        </w:rPr>
        <w:tab/>
        <w:t>DHEC shall allocate vaccines so that they are distributed in a manner that ensures that each of its four public health regions shall receive a per</w:t>
      </w:r>
      <w:r w:rsidRPr="00B7104F">
        <w:rPr>
          <w:rFonts w:eastAsia="Calibri"/>
          <w:szCs w:val="22"/>
          <w:u w:color="000000"/>
        </w:rPr>
        <w:noBreakHyphen/>
        <w:t>capita allocation, as described in subsection (A).  In making allocations to specific vaccine providers, DHEC shall consider the recommendations of its COVID</w:t>
      </w:r>
      <w:r w:rsidRPr="00B7104F">
        <w:rPr>
          <w:rFonts w:eastAsia="Calibri"/>
          <w:szCs w:val="22"/>
          <w:u w:color="000000"/>
        </w:rPr>
        <w:noBreakHyphen/>
        <w:t>19 Vaccine Regional Advisory Panels, one of which shall be established in each of the four public health regions as follows:</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(1)</w:t>
      </w:r>
      <w:r w:rsidRPr="00B7104F">
        <w:rPr>
          <w:rFonts w:eastAsia="Calibri"/>
          <w:szCs w:val="22"/>
          <w:u w:color="000000"/>
        </w:rPr>
        <w:tab/>
        <w:t>Each panel shall meet weekly.</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(2)</w:t>
      </w:r>
      <w:r w:rsidRPr="00B7104F">
        <w:rPr>
          <w:rFonts w:eastAsia="Calibri"/>
          <w:szCs w:val="22"/>
          <w:u w:color="000000"/>
        </w:rPr>
        <w:tab/>
        <w:t>At its first meet</w:t>
      </w:r>
      <w:r w:rsidR="009B2718">
        <w:rPr>
          <w:rFonts w:eastAsia="Calibri"/>
          <w:szCs w:val="22"/>
          <w:u w:color="000000"/>
        </w:rPr>
        <w:t>ing, each panel shall select a c</w:t>
      </w:r>
      <w:r w:rsidRPr="00B7104F">
        <w:rPr>
          <w:rFonts w:eastAsia="Calibri"/>
          <w:szCs w:val="22"/>
          <w:u w:color="000000"/>
        </w:rPr>
        <w:t>hairman from among its members, who shall preside ov</w:t>
      </w:r>
      <w:r w:rsidR="009B2718">
        <w:rPr>
          <w:rFonts w:eastAsia="Calibri"/>
          <w:szCs w:val="22"/>
          <w:u w:color="000000"/>
        </w:rPr>
        <w:t>er the panel’s meetings.  This c</w:t>
      </w:r>
      <w:r w:rsidRPr="00B7104F">
        <w:rPr>
          <w:rFonts w:eastAsia="Calibri"/>
          <w:szCs w:val="22"/>
          <w:u w:color="000000"/>
        </w:rPr>
        <w:t xml:space="preserve">hairman must have extensive healthcare experience within the panel’s designated region.  In the </w:t>
      </w:r>
      <w:r w:rsidR="009B2718">
        <w:rPr>
          <w:rFonts w:eastAsia="Calibri"/>
          <w:szCs w:val="22"/>
          <w:u w:color="000000"/>
        </w:rPr>
        <w:t>event of a future vacancy, the c</w:t>
      </w:r>
      <w:r w:rsidRPr="00B7104F">
        <w:rPr>
          <w:rFonts w:eastAsia="Calibri"/>
          <w:szCs w:val="22"/>
          <w:u w:color="000000"/>
        </w:rPr>
        <w:t>hair shall be filled in this same manner.</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(3)</w:t>
      </w:r>
      <w:r w:rsidRPr="00B7104F">
        <w:rPr>
          <w:rFonts w:eastAsia="Calibri"/>
          <w:szCs w:val="22"/>
          <w:u w:color="000000"/>
        </w:rPr>
        <w:tab/>
        <w:t>Each panel must include representation from affected stakeholders and vaccine providers within the region, including but not limited to hospitals, primary care practices, pharmacies, rural health clinics, and the South Carolina Primary Care Association and any other Federally Qualified Health Centers.</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(4)</w:t>
      </w:r>
      <w:r w:rsidRPr="00B7104F">
        <w:rPr>
          <w:rFonts w:eastAsia="Calibri"/>
          <w:szCs w:val="22"/>
          <w:u w:color="000000"/>
        </w:rPr>
        <w:tab/>
        <w:t>Based upon the region’s vaccine allocation provided by the department, the panel shall adopt a specific recommendation for allocating vaccines to individual providers and review the plan weekly.  This recommendation must be transmitted to the department immediately upon initial adoption and upon subsequent revision and must be based upon the following priorities:</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(a)</w:t>
      </w:r>
      <w:r w:rsidRPr="00B7104F">
        <w:rPr>
          <w:rFonts w:eastAsia="Calibri"/>
          <w:szCs w:val="22"/>
          <w:u w:color="000000"/>
        </w:rPr>
        <w:tab/>
        <w:t>Rural and underserved communities must have equitable access to receive the COVID</w:t>
      </w:r>
      <w:r w:rsidRPr="00B7104F">
        <w:rPr>
          <w:rFonts w:eastAsia="Calibri"/>
          <w:szCs w:val="22"/>
          <w:u w:color="000000"/>
        </w:rPr>
        <w:noBreakHyphen/>
        <w:t>19 vaccine;</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(b)</w:t>
      </w:r>
      <w:r w:rsidRPr="00B7104F">
        <w:rPr>
          <w:rFonts w:eastAsia="Calibri"/>
          <w:szCs w:val="22"/>
          <w:u w:color="000000"/>
        </w:rPr>
        <w:tab/>
        <w:t>Available vaccines must be administered to South Carolinians as rapidly as possible, to ensure that no doses are permitted to expire, and to position South Carolina favorably in the event that any future federal allocations to states may be based in part upon a state’s ability to expeditiously administer the vaccine;</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lastRenderedPageBreak/>
        <w:tab/>
      </w:r>
      <w:r w:rsidRPr="00B7104F">
        <w:rPr>
          <w:rFonts w:eastAsia="Calibri"/>
          <w:szCs w:val="22"/>
          <w:u w:color="000000"/>
        </w:rPr>
        <w:tab/>
        <w:t>(c)</w:t>
      </w:r>
      <w:r w:rsidRPr="00B7104F">
        <w:rPr>
          <w:rFonts w:eastAsia="Calibri"/>
          <w:szCs w:val="22"/>
          <w:u w:color="000000"/>
        </w:rPr>
        <w:tab/>
        <w:t>Each panel must consider which providers are best equipped to handle specific manufacturers’ forms of the vaccine, such as those requiring ultra</w:t>
      </w:r>
      <w:r w:rsidRPr="00B7104F">
        <w:rPr>
          <w:rFonts w:eastAsia="Calibri"/>
          <w:szCs w:val="22"/>
          <w:u w:color="000000"/>
        </w:rPr>
        <w:noBreakHyphen/>
        <w:t>cold storage; and</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(d)</w:t>
      </w:r>
      <w:r w:rsidRPr="00B7104F">
        <w:rPr>
          <w:rFonts w:eastAsia="Calibri"/>
          <w:szCs w:val="22"/>
          <w:u w:color="000000"/>
        </w:rPr>
        <w:tab/>
        <w:t>Panels’ recommendations must be informed by their review of the most current and comprehensive data available as to how vaccines have already been administered within their regions, including how the vaccination rate varies by geography, race, age, income, or other relevant factors.</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tab/>
        <w:t>B.</w:t>
      </w:r>
      <w:r w:rsidRPr="00B7104F">
        <w:tab/>
      </w:r>
      <w:r w:rsidRPr="00B7104F">
        <w:rPr>
          <w:rFonts w:eastAsia="Calibri"/>
          <w:szCs w:val="22"/>
          <w:u w:color="000000"/>
        </w:rPr>
        <w:t>This section terminates and is no longer effective when the Director of the Department of Health and Environmental Control determines that the demands f</w:t>
      </w:r>
      <w:r w:rsidR="00260B86">
        <w:rPr>
          <w:rFonts w:eastAsia="Calibri"/>
          <w:szCs w:val="22"/>
          <w:u w:color="000000"/>
        </w:rPr>
        <w:t>or the vaccine no longer exceed</w:t>
      </w:r>
      <w:r w:rsidRPr="00B7104F">
        <w:rPr>
          <w:rFonts w:eastAsia="Calibri"/>
          <w:szCs w:val="22"/>
          <w:u w:color="000000"/>
        </w:rPr>
        <w:t xml:space="preserve"> the supply of the vaccine.</w:t>
      </w: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SECTION</w:t>
      </w:r>
      <w:r>
        <w:rPr>
          <w:rFonts w:eastAsia="Calibri"/>
          <w:szCs w:val="22"/>
          <w:u w:color="000000"/>
        </w:rPr>
        <w:tab/>
        <w:t>6</w:t>
      </w:r>
      <w:r w:rsidRPr="00B7104F">
        <w:rPr>
          <w:rFonts w:eastAsia="Calibri"/>
          <w:szCs w:val="22"/>
          <w:u w:color="000000"/>
        </w:rPr>
        <w:t>.</w:t>
      </w:r>
      <w:r w:rsidRPr="00B7104F">
        <w:rPr>
          <w:rFonts w:eastAsia="Calibri"/>
          <w:szCs w:val="22"/>
          <w:u w:color="000000"/>
        </w:rPr>
        <w:tab/>
        <w:t>(A)</w:t>
      </w:r>
      <w:r w:rsidRPr="00B7104F">
        <w:rPr>
          <w:rFonts w:eastAsia="Calibri"/>
          <w:szCs w:val="22"/>
          <w:u w:color="000000"/>
        </w:rPr>
        <w:tab/>
        <w:t>The Department of Health and Environmental Control shall provide a daily report, detailing:</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(1)</w:t>
      </w:r>
      <w:r w:rsidRPr="00B7104F">
        <w:rPr>
          <w:rFonts w:eastAsia="Calibri"/>
          <w:szCs w:val="22"/>
          <w:u w:color="000000"/>
        </w:rPr>
        <w:tab/>
        <w:t>the total number of COVID-19 vaccine doses in inventory as of that day;</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(2)</w:t>
      </w:r>
      <w:r w:rsidRPr="00B7104F">
        <w:rPr>
          <w:rFonts w:eastAsia="Calibri"/>
          <w:szCs w:val="22"/>
          <w:u w:color="000000"/>
        </w:rPr>
        <w:tab/>
        <w:t>the total number of COVID-19 vaccine doses received that day itemized by manufacturer;</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(3)</w:t>
      </w:r>
      <w:r w:rsidRPr="00B7104F">
        <w:rPr>
          <w:rFonts w:eastAsia="Calibri"/>
          <w:szCs w:val="22"/>
          <w:u w:color="000000"/>
        </w:rPr>
        <w:tab/>
        <w:t>the total number of COVID-19 vaccine doses that the State is presently eligible to receive but has not yet drawn, itemized by manufacturer.</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(4)</w:t>
      </w:r>
      <w:r w:rsidRPr="00B7104F">
        <w:rPr>
          <w:rFonts w:eastAsia="Calibri"/>
          <w:szCs w:val="22"/>
          <w:u w:color="000000"/>
        </w:rPr>
        <w:tab/>
        <w:t>the total number of COVID-19 vaccine doses in inventory as of that day that are intended to be administered as a first dose and the number that are intended to be administered as a second dose; and</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(5)</w:t>
      </w:r>
      <w:r w:rsidRPr="00B7104F">
        <w:rPr>
          <w:rFonts w:eastAsia="Calibri"/>
          <w:szCs w:val="22"/>
          <w:u w:color="000000"/>
        </w:rPr>
        <w:tab/>
        <w:t>the total number of COVID-19 vaccine doses that are distributed or redistributed to each administering entity that day, itemized by manufacturer.</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 xml:space="preserve">The daily report also shall provide a cumulative report detailing the same.  </w:t>
      </w:r>
    </w:p>
    <w:p w:rsidR="00B7104F" w:rsidRPr="00B7104F" w:rsidRDefault="00260B86"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t>(B)</w:t>
      </w:r>
      <w:r>
        <w:rPr>
          <w:rFonts w:eastAsia="Calibri"/>
          <w:szCs w:val="22"/>
          <w:u w:color="000000"/>
        </w:rPr>
        <w:tab/>
        <w:t>DHEC a</w:t>
      </w:r>
      <w:r w:rsidR="00B7104F" w:rsidRPr="00B7104F">
        <w:rPr>
          <w:rFonts w:eastAsia="Calibri"/>
          <w:szCs w:val="22"/>
          <w:u w:color="000000"/>
        </w:rPr>
        <w:t>lso shall tabulate the reports required by subsection (C), and include in the daily report required by subsection (A), the cumulative total of vaccines administered.  The cumulative totals of vaccines administered also must be shown, numerically and graphically, as a percentage of the State as a whole, and demonstrate how many more vaccines must be given until the next category of individuals are eligible for the vaccine.  The cumulative totals of vaccines administered also must be shown, numerically and graphically by the zip code of the patient.</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(C)</w:t>
      </w:r>
      <w:r w:rsidRPr="00B7104F">
        <w:rPr>
          <w:rFonts w:eastAsia="Calibri"/>
          <w:szCs w:val="22"/>
          <w:u w:color="000000"/>
        </w:rPr>
        <w:tab/>
        <w:t>Each administering entity shall provide a daily report to the Department of Health and Environmental Control detailing:</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lastRenderedPageBreak/>
        <w:tab/>
      </w:r>
      <w:r w:rsidRPr="00B7104F">
        <w:rPr>
          <w:rFonts w:eastAsia="Calibri"/>
          <w:szCs w:val="22"/>
          <w:u w:color="000000"/>
        </w:rPr>
        <w:tab/>
        <w:t>(1)</w:t>
      </w:r>
      <w:r w:rsidRPr="00B7104F">
        <w:rPr>
          <w:rFonts w:eastAsia="Calibri"/>
          <w:szCs w:val="22"/>
          <w:u w:color="000000"/>
        </w:rPr>
        <w:tab/>
        <w:t>the total number of COVID-19 vaccine doses in inventory as of that day, itemized by manufacturer;</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(2)</w:t>
      </w:r>
      <w:r w:rsidRPr="00B7104F">
        <w:rPr>
          <w:rFonts w:eastAsia="Calibri"/>
          <w:szCs w:val="22"/>
          <w:u w:color="000000"/>
        </w:rPr>
        <w:tab/>
        <w:t>the total number of COVID-19 vaccines administered that day;</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(3)</w:t>
      </w:r>
      <w:r w:rsidRPr="00B7104F">
        <w:rPr>
          <w:rFonts w:eastAsia="Calibri"/>
          <w:szCs w:val="22"/>
          <w:u w:color="000000"/>
        </w:rPr>
        <w:tab/>
        <w:t>the total number of upcoming appointments for a COVID-19 vaccine scheduled as of that day;</w:t>
      </w:r>
      <w:r w:rsidR="009B2718">
        <w:rPr>
          <w:rFonts w:eastAsia="Calibri"/>
          <w:szCs w:val="22"/>
          <w:u w:color="000000"/>
        </w:rPr>
        <w:t xml:space="preserve"> and</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r>
      <w:r w:rsidRPr="00B7104F">
        <w:rPr>
          <w:rFonts w:eastAsia="Calibri"/>
          <w:szCs w:val="22"/>
          <w:u w:color="000000"/>
        </w:rPr>
        <w:tab/>
        <w:t>(4)</w:t>
      </w:r>
      <w:r w:rsidRPr="00B7104F">
        <w:rPr>
          <w:rFonts w:eastAsia="Calibri"/>
          <w:szCs w:val="22"/>
          <w:u w:color="000000"/>
        </w:rPr>
        <w:tab/>
        <w:t>the total number of COVID-19 vaccines administered that day as a first dose and the number administered that day as a second dose, if applicable.</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The daily report also shall provide a cumulative report for the entity detailing the same.</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An administering entity may satisfy the reporting requirements of this subsection, subject to DHEC approval, if it makes such information available through the Vaccine Administration Management System or another existing reporting mechanism approved by DHEC.</w:t>
      </w:r>
    </w:p>
    <w:p w:rsidR="00B7104F" w:rsidRP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7104F">
        <w:rPr>
          <w:rFonts w:eastAsia="Calibri"/>
          <w:szCs w:val="22"/>
          <w:u w:color="000000"/>
        </w:rPr>
        <w:tab/>
        <w:t>(D)</w:t>
      </w:r>
      <w:r w:rsidRPr="00B7104F">
        <w:rPr>
          <w:rFonts w:eastAsia="Calibri"/>
          <w:szCs w:val="22"/>
          <w:u w:color="000000"/>
        </w:rPr>
        <w:tab/>
        <w:t>Each administering entity also must establish a tracking process to ensure that individuals receive their first and second dose from the same entity.</w:t>
      </w:r>
    </w:p>
    <w:p w:rsidR="00B7104F" w:rsidRDefault="00B7104F" w:rsidP="00B7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04F">
        <w:rPr>
          <w:rFonts w:eastAsia="Calibri"/>
          <w:szCs w:val="22"/>
          <w:u w:color="000000"/>
        </w:rPr>
        <w:tab/>
        <w:t>(E)</w:t>
      </w:r>
      <w:r w:rsidRPr="00B7104F">
        <w:rPr>
          <w:rFonts w:eastAsia="Calibri"/>
          <w:szCs w:val="22"/>
          <w:u w:color="000000"/>
        </w:rPr>
        <w:tab/>
        <w:t>The reports required by this section must be posted daily on the department’s website.</w:t>
      </w:r>
    </w:p>
    <w:p w:rsidR="00B7104F" w:rsidRPr="00B83B1D" w:rsidRDefault="00B7104F"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183"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3B1D">
        <w:rPr>
          <w:color w:val="000000" w:themeColor="text1"/>
          <w:u w:color="000000" w:themeColor="text1"/>
        </w:rPr>
        <w:t>SECTION</w:t>
      </w:r>
      <w:r w:rsidRPr="00B83B1D">
        <w:rPr>
          <w:color w:val="000000" w:themeColor="text1"/>
          <w:u w:color="000000" w:themeColor="text1"/>
        </w:rPr>
        <w:tab/>
      </w:r>
      <w:r w:rsidR="00B7104F">
        <w:rPr>
          <w:color w:val="000000" w:themeColor="text1"/>
          <w:u w:color="000000" w:themeColor="text1"/>
        </w:rPr>
        <w:t>7</w:t>
      </w:r>
      <w:r w:rsidRPr="00B83B1D">
        <w:rPr>
          <w:color w:val="000000" w:themeColor="text1"/>
          <w:u w:color="000000" w:themeColor="text1"/>
        </w:rPr>
        <w:t>.</w:t>
      </w:r>
      <w:r w:rsidRPr="00B83B1D">
        <w:rPr>
          <w:color w:val="000000" w:themeColor="text1"/>
          <w:u w:color="000000" w:themeColor="text1"/>
        </w:rPr>
        <w:tab/>
        <w:t>This joint resolution takes effect upon approval by the Governor.</w:t>
      </w:r>
    </w:p>
    <w:p w:rsidR="00CB4D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5C35" w:rsidRDefault="00885C35" w:rsidP="00885C35">
      <w:pPr>
        <w:suppressAutoHyphens/>
      </w:pPr>
    </w:p>
    <w:sectPr w:rsidR="00885C35" w:rsidSect="004202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183" w:rsidRDefault="00CD1183" w:rsidP="009F0C77">
      <w:r>
        <w:separator/>
      </w:r>
    </w:p>
  </w:endnote>
  <w:endnote w:type="continuationSeparator" w:id="0">
    <w:p w:rsidR="00CD1183" w:rsidRDefault="00CD11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0CBBFB-F79A-4059-AA59-A6A3F40D0A35}"/>
    <w:embedBold r:id="rId2" w:fontKey="{EFA78F18-47D3-4859-82DB-03C95E653FE5}"/>
  </w:font>
  <w:font w:name="Calibri">
    <w:panose1 w:val="020F0502020204030204"/>
    <w:charset w:val="00"/>
    <w:family w:val="swiss"/>
    <w:pitch w:val="variable"/>
    <w:sig w:usb0="E0002EFF" w:usb1="C000247B" w:usb2="00000009" w:usb3="00000000" w:csb0="000001FF" w:csb1="00000000"/>
    <w:embedRegular r:id="rId3" w:fontKey="{C5224B35-D139-4FD6-91BA-9FBB13414878}"/>
  </w:font>
  <w:font w:name="Cambria">
    <w:panose1 w:val="02040503050406030204"/>
    <w:charset w:val="00"/>
    <w:family w:val="roman"/>
    <w:pitch w:val="variable"/>
    <w:sig w:usb0="E00006FF" w:usb1="420024FF" w:usb2="02000000" w:usb3="00000000" w:csb0="0000019F" w:csb1="00000000"/>
    <w:embedRegular r:id="rId4" w:fontKey="{D33A2AA7-BB6D-4DAC-A571-500D266CCE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DAD" w:rsidRPr="00030074" w:rsidRDefault="00030074" w:rsidP="00030074">
    <w:pPr>
      <w:pStyle w:val="Footer"/>
      <w:tabs>
        <w:tab w:val="clear" w:pos="4680"/>
        <w:tab w:val="clear" w:pos="9360"/>
        <w:tab w:val="center" w:pos="2995"/>
      </w:tabs>
      <w:spacing w:before="120"/>
    </w:pPr>
    <w:r>
      <w:t>[3707</w:t>
    </w:r>
    <w:r w:rsidR="00420295">
      <w:t>-</w:t>
    </w:r>
    <w:r w:rsidR="00420295">
      <w:fldChar w:fldCharType="begin"/>
    </w:r>
    <w:r w:rsidR="00420295">
      <w:instrText xml:space="preserve"> PAGE  \* MERGEFORMAT </w:instrText>
    </w:r>
    <w:r w:rsidR="00420295">
      <w:fldChar w:fldCharType="separate"/>
    </w:r>
    <w:r w:rsidR="00885C35">
      <w:rPr>
        <w:noProof/>
      </w:rPr>
      <w:t>4</w:t>
    </w:r>
    <w:r w:rsidR="00420295">
      <w:fldChar w:fldCharType="end"/>
    </w:r>
    <w:r w:rsidR="0042029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295" w:rsidRPr="00030074" w:rsidRDefault="00420295" w:rsidP="00030074">
    <w:pPr>
      <w:pStyle w:val="Footer"/>
      <w:tabs>
        <w:tab w:val="clear" w:pos="4680"/>
        <w:tab w:val="clear" w:pos="9360"/>
        <w:tab w:val="center" w:pos="2995"/>
      </w:tabs>
      <w:spacing w:before="120"/>
    </w:pPr>
    <w:r>
      <w:t>[3707]</w:t>
    </w:r>
    <w:r>
      <w:tab/>
    </w:r>
    <w:r>
      <w:fldChar w:fldCharType="begin"/>
    </w:r>
    <w:r>
      <w:instrText xml:space="preserve"> PAGE  \* MERGEFORMAT </w:instrText>
    </w:r>
    <w:r>
      <w:fldChar w:fldCharType="separate"/>
    </w:r>
    <w:r w:rsidR="00885C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183" w:rsidRDefault="00CD1183" w:rsidP="009F0C77">
      <w:r>
        <w:separator/>
      </w:r>
    </w:p>
  </w:footnote>
  <w:footnote w:type="continuationSeparator" w:id="0">
    <w:p w:rsidR="00CD1183" w:rsidRDefault="00CD11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8DG21"/>
    <w:docVar w:name="CoverBillType" w:val="j"/>
    <w:docVar w:name="DocPath" w:val="L:\Council\bills\NBD\11158DG21.DOCX"/>
    <w:docVar w:name="dvBillNumber" w:val="3707"/>
    <w:docVar w:name="dvBillNumberPrefix" w:val="H. "/>
    <w:docVar w:name="dvOriginalBody" w:val="House"/>
    <w:docVar w:name="dvSteno" w:val="NBD"/>
    <w:docVar w:name="NameofBody" w:val="h"/>
    <w:docVar w:name="vGroup2" w:val="Council"/>
  </w:docVars>
  <w:rsids>
    <w:rsidRoot w:val="00CD1183"/>
    <w:rsid w:val="00011869"/>
    <w:rsid w:val="00015CD6"/>
    <w:rsid w:val="00030074"/>
    <w:rsid w:val="0006746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0B86"/>
    <w:rsid w:val="00284AAE"/>
    <w:rsid w:val="002E5912"/>
    <w:rsid w:val="00301B21"/>
    <w:rsid w:val="00325348"/>
    <w:rsid w:val="0032732C"/>
    <w:rsid w:val="00336AD0"/>
    <w:rsid w:val="0037079A"/>
    <w:rsid w:val="003C4DAB"/>
    <w:rsid w:val="003D01E8"/>
    <w:rsid w:val="003E5288"/>
    <w:rsid w:val="003F6D79"/>
    <w:rsid w:val="0041760A"/>
    <w:rsid w:val="00417C01"/>
    <w:rsid w:val="00420295"/>
    <w:rsid w:val="004403BD"/>
    <w:rsid w:val="00461441"/>
    <w:rsid w:val="004809EE"/>
    <w:rsid w:val="004B3159"/>
    <w:rsid w:val="004E7D54"/>
    <w:rsid w:val="005273C6"/>
    <w:rsid w:val="00530A69"/>
    <w:rsid w:val="00545593"/>
    <w:rsid w:val="00556EBF"/>
    <w:rsid w:val="00577C6C"/>
    <w:rsid w:val="005A62FE"/>
    <w:rsid w:val="005B3EEB"/>
    <w:rsid w:val="005C2FE2"/>
    <w:rsid w:val="005E2BC9"/>
    <w:rsid w:val="005E316D"/>
    <w:rsid w:val="00605102"/>
    <w:rsid w:val="006215AA"/>
    <w:rsid w:val="00674A83"/>
    <w:rsid w:val="006913C9"/>
    <w:rsid w:val="0069470D"/>
    <w:rsid w:val="006D58AA"/>
    <w:rsid w:val="00734F00"/>
    <w:rsid w:val="00736959"/>
    <w:rsid w:val="007A70AE"/>
    <w:rsid w:val="007D434D"/>
    <w:rsid w:val="008362E8"/>
    <w:rsid w:val="0085786E"/>
    <w:rsid w:val="0086444F"/>
    <w:rsid w:val="00885C35"/>
    <w:rsid w:val="008A1768"/>
    <w:rsid w:val="008A489F"/>
    <w:rsid w:val="008F0F33"/>
    <w:rsid w:val="008F4429"/>
    <w:rsid w:val="009134A8"/>
    <w:rsid w:val="0094021A"/>
    <w:rsid w:val="009B2718"/>
    <w:rsid w:val="009B44AF"/>
    <w:rsid w:val="009C6A0B"/>
    <w:rsid w:val="009C7A71"/>
    <w:rsid w:val="009F0C77"/>
    <w:rsid w:val="009F4DD1"/>
    <w:rsid w:val="00A02543"/>
    <w:rsid w:val="00A07D64"/>
    <w:rsid w:val="00A41684"/>
    <w:rsid w:val="00A64E80"/>
    <w:rsid w:val="00A72BCD"/>
    <w:rsid w:val="00A741D9"/>
    <w:rsid w:val="00A833AB"/>
    <w:rsid w:val="00A9741D"/>
    <w:rsid w:val="00AC34A2"/>
    <w:rsid w:val="00AD1C9A"/>
    <w:rsid w:val="00AD4B17"/>
    <w:rsid w:val="00B12927"/>
    <w:rsid w:val="00B412D4"/>
    <w:rsid w:val="00B64FFF"/>
    <w:rsid w:val="00B7104F"/>
    <w:rsid w:val="00BC7F57"/>
    <w:rsid w:val="00BE3C22"/>
    <w:rsid w:val="00BF0764"/>
    <w:rsid w:val="00C0345E"/>
    <w:rsid w:val="00C056E0"/>
    <w:rsid w:val="00C21ABE"/>
    <w:rsid w:val="00C31C95"/>
    <w:rsid w:val="00C3483A"/>
    <w:rsid w:val="00C74E9D"/>
    <w:rsid w:val="00C826DD"/>
    <w:rsid w:val="00C82FD3"/>
    <w:rsid w:val="00C8639C"/>
    <w:rsid w:val="00C92819"/>
    <w:rsid w:val="00CB4DAD"/>
    <w:rsid w:val="00CC6B7B"/>
    <w:rsid w:val="00CD1183"/>
    <w:rsid w:val="00CD2089"/>
    <w:rsid w:val="00D73A67"/>
    <w:rsid w:val="00D970A9"/>
    <w:rsid w:val="00DE3FA7"/>
    <w:rsid w:val="00DF3845"/>
    <w:rsid w:val="00E41911"/>
    <w:rsid w:val="00E44B57"/>
    <w:rsid w:val="00E92EEF"/>
    <w:rsid w:val="00EF2368"/>
    <w:rsid w:val="00F11C5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E7853"/>
  <w15:docId w15:val="{FE5EFFE7-18E0-469B-A504-B5DFD2F38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4B3159"/>
    <w:pPr>
      <w:jc w:val="left"/>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87BEB-0B08-459D-B43D-9AF7F3973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4159</Words>
  <Characters>23586</Characters>
  <Application>Microsoft Office Word</Application>
  <DocSecurity>0</DocSecurity>
  <Lines>519</Lines>
  <Paragraphs>111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3707 Text of Previous Version (Feb. 4, 2021) - South Carolina Legislature Online</dc:title>
  <dc:creator>Niki Downey</dc:creator>
  <cp:lastModifiedBy>Derrick Williamson</cp:lastModifiedBy>
  <cp:revision>2</cp:revision>
  <cp:lastPrinted>2021-01-26T15:13:00Z</cp:lastPrinted>
  <dcterms:created xsi:type="dcterms:W3CDTF">2021-02-04T17:28:00Z</dcterms:created>
  <dcterms:modified xsi:type="dcterms:W3CDTF">2021-02-04T17:28:00Z</dcterms:modified>
</cp:coreProperties>
</file>